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pPr>
      <w:r>
        <w:rPr>
          <w:rFonts w:ascii="Georgia" w:hAnsi="Georgia"/>
          <w:b/>
          <w:color w:val="1E2A38"/>
          <w:sz w:val="52"/>
        </w:rPr>
        <w:t>What We Run And Where</w:t>
      </w:r>
    </w:p>
    <w:p>
      <w:pPr>
        <w:spacing w:before="0" w:after="280"/>
        <w:pBdr>
          <w:bottom w:val="single" w:sz="18" w:space="1" w:color="C98A1E"/>
        </w:pBdr>
      </w:pPr>
    </w:p>
    <w:p>
      <w:r>
        <w:rPr>
          <w:rFonts w:ascii="Calibri" w:hAnsi="Calibri"/>
          <w:color w:val="1A2430"/>
          <w:sz w:val="21"/>
        </w:rPr>
        <w:t>Most small businesses cannot describe their own systems, which makes every decision slower and every emergency worse. This is the document that fixes it.</w:t>
      </w:r>
    </w:p>
    <w:p>
      <w:r>
        <w:rPr>
          <w:rFonts w:ascii="Calibri" w:hAnsi="Calibri"/>
          <w:color w:val="1A2430"/>
          <w:sz w:val="21"/>
        </w:rPr>
        <w:t>Fill it in once. Review it every six months. Keep a copy somewhere that does not depend on the systems it describes.</w:t>
      </w:r>
    </w:p>
    <w:p>
      <w:pPr>
        <w:spacing w:before="320" w:after="100"/>
        <w:pBdr>
          <w:bottom w:val="single" w:sz="4" w:space="4" w:color="E4E0D6"/>
        </w:pBdr>
      </w:pPr>
      <w:r>
        <w:rPr>
          <w:rFonts w:ascii="Georgia" w:hAnsi="Georgia"/>
          <w:b/>
          <w:color w:val="1E2A38"/>
          <w:sz w:val="30"/>
        </w:rPr>
        <w:t>Core platforms</w:t>
      </w:r>
    </w:p>
    <w:tbl>
      <w:tblPr>
        <w:tblW w:type="auto" w:w="0"/>
        <w:jc w:val="left"/>
        <w:tblLook w:firstColumn="1" w:firstRow="1" w:lastColumn="0" w:lastRow="0" w:noHBand="0" w:noVBand="1" w:val="04A0"/>
        <w:tblBorders>
          <w:top w:val="single" w:sz="4" w:space="0" w:color="E4E0D6"/>
          <w:left w:val="single" w:sz="4" w:space="0" w:color="E4E0D6"/>
          <w:bottom w:val="single" w:sz="4" w:space="0" w:color="E4E0D6"/>
          <w:right w:val="single" w:sz="4" w:space="0" w:color="E4E0D6"/>
          <w:insideH w:val="single" w:sz="4" w:space="0" w:color="E4E0D6"/>
          <w:insideV w:val="single" w:sz="4" w:space="0" w:color="E4E0D6"/>
        </w:tblBorders>
      </w:tblPr>
      <w:tblGrid>
        <w:gridCol w:w="1901"/>
        <w:gridCol w:w="1901"/>
        <w:gridCol w:w="1901"/>
        <w:gridCol w:w="1901"/>
        <w:gridCol w:w="1901"/>
      </w:tblGrid>
      <w:tr>
        <w:tc>
          <w:tcPr>
            <w:tcW w:type="dxa" w:w="1901"/>
            <w:shd w:val="clear" w:color="auto" w:fill="1E2A38"/>
          </w:tcPr>
          <w:p>
            <w:pPr>
              <w:spacing w:before="80" w:after="80"/>
            </w:pPr>
            <w:r>
              <w:rPr>
                <w:b/>
                <w:color w:val="F7F2E8"/>
              </w:rPr>
            </w:r>
            <w:r>
              <w:rPr>
                <w:rFonts w:ascii="Calibri" w:hAnsi="Calibri"/>
                <w:b/>
                <w:color w:val="F7F2E8"/>
                <w:sz w:val="19"/>
              </w:rPr>
              <w:t>System</w:t>
            </w:r>
          </w:p>
        </w:tc>
        <w:tc>
          <w:tcPr>
            <w:tcW w:type="dxa" w:w="1901"/>
            <w:shd w:val="clear" w:color="auto" w:fill="1E2A38"/>
          </w:tcPr>
          <w:p>
            <w:pPr>
              <w:spacing w:before="80" w:after="80"/>
            </w:pPr>
            <w:r>
              <w:rPr>
                <w:b/>
                <w:color w:val="F7F2E8"/>
              </w:rPr>
            </w:r>
            <w:r>
              <w:rPr>
                <w:rFonts w:ascii="Calibri" w:hAnsi="Calibri"/>
                <w:b/>
                <w:color w:val="F7F2E8"/>
                <w:sz w:val="19"/>
              </w:rPr>
              <w:t>What it does</w:t>
            </w:r>
          </w:p>
        </w:tc>
        <w:tc>
          <w:tcPr>
            <w:tcW w:type="dxa" w:w="1901"/>
            <w:shd w:val="clear" w:color="auto" w:fill="1E2A38"/>
          </w:tcPr>
          <w:p>
            <w:pPr>
              <w:spacing w:before="80" w:after="80"/>
            </w:pPr>
            <w:r>
              <w:rPr>
                <w:b/>
                <w:color w:val="F7F2E8"/>
              </w:rPr>
            </w:r>
            <w:r>
              <w:rPr>
                <w:rFonts w:ascii="Calibri" w:hAnsi="Calibri"/>
                <w:b/>
                <w:color w:val="F7F2E8"/>
                <w:sz w:val="19"/>
              </w:rPr>
              <w:t>Who administers it</w:t>
            </w:r>
          </w:p>
        </w:tc>
        <w:tc>
          <w:tcPr>
            <w:tcW w:type="dxa" w:w="1901"/>
            <w:shd w:val="clear" w:color="auto" w:fill="1E2A38"/>
          </w:tcPr>
          <w:p>
            <w:pPr>
              <w:spacing w:before="80" w:after="80"/>
            </w:pPr>
            <w:r>
              <w:rPr>
                <w:b/>
                <w:color w:val="F7F2E8"/>
              </w:rPr>
            </w:r>
            <w:r>
              <w:rPr>
                <w:rFonts w:ascii="Calibri" w:hAnsi="Calibri"/>
                <w:b/>
                <w:color w:val="F7F2E8"/>
                <w:sz w:val="19"/>
              </w:rPr>
              <w:t>Where the data lives</w:t>
            </w:r>
          </w:p>
        </w:tc>
        <w:tc>
          <w:tcPr>
            <w:tcW w:type="dxa" w:w="1901"/>
            <w:shd w:val="clear" w:color="auto" w:fill="1E2A38"/>
          </w:tcPr>
          <w:p>
            <w:pPr>
              <w:spacing w:before="80" w:after="80"/>
            </w:pPr>
            <w:r>
              <w:rPr>
                <w:b/>
                <w:color w:val="F7F2E8"/>
              </w:rPr>
            </w:r>
            <w:r>
              <w:rPr>
                <w:rFonts w:ascii="Calibri" w:hAnsi="Calibri"/>
                <w:b/>
                <w:color w:val="F7F2E8"/>
                <w:sz w:val="19"/>
              </w:rPr>
              <w:t>Renewal date</w:t>
            </w:r>
          </w:p>
        </w:tc>
      </w:tr>
      <w:tr>
        <w:tc>
          <w:tcPr>
            <w:tcW w:type="dxa" w:w="1901"/>
          </w:tcPr>
          <w:p>
            <w:pPr>
              <w:spacing w:before="60" w:after="60"/>
            </w:pPr>
            <w:r/>
            <w:r>
              <w:rPr>
                <w:rFonts w:ascii="Calibri" w:hAnsi="Calibri"/>
                <w:color w:val="1A2430"/>
                <w:sz w:val="19"/>
              </w:rPr>
              <w:t>Email and files</w:t>
            </w:r>
          </w:p>
        </w:tc>
        <w:tc>
          <w:tcPr>
            <w:tcW w:type="dxa" w:w="1901"/>
          </w:tcPr>
          <w:p>
            <w:pPr>
              <w:spacing w:before="60" w:after="60"/>
            </w:pPr>
            <w:r/>
          </w:p>
        </w:tc>
        <w:tc>
          <w:tcPr>
            <w:tcW w:type="dxa" w:w="1901"/>
          </w:tcPr>
          <w:p>
            <w:pPr>
              <w:spacing w:before="60" w:after="60"/>
            </w:pPr>
            <w:r/>
          </w:p>
        </w:tc>
        <w:tc>
          <w:tcPr>
            <w:tcW w:type="dxa" w:w="1901"/>
          </w:tcPr>
          <w:p>
            <w:pPr>
              <w:spacing w:before="60" w:after="60"/>
            </w:pPr>
            <w:r/>
          </w:p>
        </w:tc>
        <w:tc>
          <w:tcPr>
            <w:tcW w:type="dxa" w:w="1901"/>
          </w:tcPr>
          <w:p>
            <w:pPr>
              <w:spacing w:before="60" w:after="60"/>
            </w:pPr>
            <w:r/>
          </w:p>
        </w:tc>
      </w:tr>
      <w:tr>
        <w:tc>
          <w:tcPr>
            <w:tcW w:type="dxa" w:w="1901"/>
            <w:shd w:val="clear" w:color="auto" w:fill="F6F5F1"/>
          </w:tcPr>
          <w:p>
            <w:pPr>
              <w:spacing w:before="60" w:after="60"/>
            </w:pPr>
            <w:r/>
            <w:r>
              <w:rPr>
                <w:rFonts w:ascii="Calibri" w:hAnsi="Calibri"/>
                <w:color w:val="1A2430"/>
                <w:sz w:val="19"/>
              </w:rPr>
              <w:t>Accounting</w:t>
            </w:r>
          </w:p>
        </w:tc>
        <w:tc>
          <w:tcPr>
            <w:tcW w:type="dxa" w:w="1901"/>
            <w:shd w:val="clear" w:color="auto" w:fill="F6F5F1"/>
          </w:tcPr>
          <w:p>
            <w:pPr>
              <w:spacing w:before="60" w:after="60"/>
            </w:pPr>
            <w:r/>
          </w:p>
        </w:tc>
        <w:tc>
          <w:tcPr>
            <w:tcW w:type="dxa" w:w="1901"/>
            <w:shd w:val="clear" w:color="auto" w:fill="F6F5F1"/>
          </w:tcPr>
          <w:p>
            <w:pPr>
              <w:spacing w:before="60" w:after="60"/>
            </w:pPr>
            <w:r/>
          </w:p>
        </w:tc>
        <w:tc>
          <w:tcPr>
            <w:tcW w:type="dxa" w:w="1901"/>
            <w:shd w:val="clear" w:color="auto" w:fill="F6F5F1"/>
          </w:tcPr>
          <w:p>
            <w:pPr>
              <w:spacing w:before="60" w:after="60"/>
            </w:pPr>
            <w:r/>
          </w:p>
        </w:tc>
        <w:tc>
          <w:tcPr>
            <w:tcW w:type="dxa" w:w="1901"/>
            <w:shd w:val="clear" w:color="auto" w:fill="F6F5F1"/>
          </w:tcPr>
          <w:p>
            <w:pPr>
              <w:spacing w:before="60" w:after="60"/>
            </w:pPr>
            <w:r/>
          </w:p>
        </w:tc>
      </w:tr>
      <w:tr>
        <w:tc>
          <w:tcPr>
            <w:tcW w:type="dxa" w:w="1901"/>
          </w:tcPr>
          <w:p>
            <w:pPr>
              <w:spacing w:before="60" w:after="60"/>
            </w:pPr>
            <w:r/>
            <w:r>
              <w:rPr>
                <w:rFonts w:ascii="Calibri" w:hAnsi="Calibri"/>
                <w:color w:val="1A2430"/>
                <w:sz w:val="19"/>
              </w:rPr>
              <w:t>Banking</w:t>
            </w:r>
          </w:p>
        </w:tc>
        <w:tc>
          <w:tcPr>
            <w:tcW w:type="dxa" w:w="1901"/>
          </w:tcPr>
          <w:p>
            <w:pPr>
              <w:spacing w:before="60" w:after="60"/>
            </w:pPr>
            <w:r/>
          </w:p>
        </w:tc>
        <w:tc>
          <w:tcPr>
            <w:tcW w:type="dxa" w:w="1901"/>
          </w:tcPr>
          <w:p>
            <w:pPr>
              <w:spacing w:before="60" w:after="60"/>
            </w:pPr>
            <w:r/>
          </w:p>
        </w:tc>
        <w:tc>
          <w:tcPr>
            <w:tcW w:type="dxa" w:w="1901"/>
          </w:tcPr>
          <w:p>
            <w:pPr>
              <w:spacing w:before="60" w:after="60"/>
            </w:pPr>
            <w:r/>
          </w:p>
        </w:tc>
        <w:tc>
          <w:tcPr>
            <w:tcW w:type="dxa" w:w="1901"/>
          </w:tcPr>
          <w:p>
            <w:pPr>
              <w:spacing w:before="60" w:after="60"/>
            </w:pPr>
            <w:r/>
          </w:p>
        </w:tc>
      </w:tr>
      <w:tr>
        <w:tc>
          <w:tcPr>
            <w:tcW w:type="dxa" w:w="1901"/>
            <w:shd w:val="clear" w:color="auto" w:fill="F6F5F1"/>
          </w:tcPr>
          <w:p>
            <w:pPr>
              <w:spacing w:before="60" w:after="60"/>
            </w:pPr>
            <w:r/>
            <w:r>
              <w:rPr>
                <w:rFonts w:ascii="Calibri" w:hAnsi="Calibri"/>
                <w:color w:val="1A2430"/>
                <w:sz w:val="19"/>
              </w:rPr>
              <w:t>CRM or client records</w:t>
            </w:r>
          </w:p>
        </w:tc>
        <w:tc>
          <w:tcPr>
            <w:tcW w:type="dxa" w:w="1901"/>
            <w:shd w:val="clear" w:color="auto" w:fill="F6F5F1"/>
          </w:tcPr>
          <w:p>
            <w:pPr>
              <w:spacing w:before="60" w:after="60"/>
            </w:pPr>
            <w:r/>
          </w:p>
        </w:tc>
        <w:tc>
          <w:tcPr>
            <w:tcW w:type="dxa" w:w="1901"/>
            <w:shd w:val="clear" w:color="auto" w:fill="F6F5F1"/>
          </w:tcPr>
          <w:p>
            <w:pPr>
              <w:spacing w:before="60" w:after="60"/>
            </w:pPr>
            <w:r/>
          </w:p>
        </w:tc>
        <w:tc>
          <w:tcPr>
            <w:tcW w:type="dxa" w:w="1901"/>
            <w:shd w:val="clear" w:color="auto" w:fill="F6F5F1"/>
          </w:tcPr>
          <w:p>
            <w:pPr>
              <w:spacing w:before="60" w:after="60"/>
            </w:pPr>
            <w:r/>
          </w:p>
        </w:tc>
        <w:tc>
          <w:tcPr>
            <w:tcW w:type="dxa" w:w="1901"/>
            <w:shd w:val="clear" w:color="auto" w:fill="F6F5F1"/>
          </w:tcPr>
          <w:p>
            <w:pPr>
              <w:spacing w:before="60" w:after="60"/>
            </w:pPr>
            <w:r/>
          </w:p>
        </w:tc>
      </w:tr>
      <w:tr>
        <w:tc>
          <w:tcPr>
            <w:tcW w:type="dxa" w:w="1901"/>
          </w:tcPr>
          <w:p>
            <w:pPr>
              <w:spacing w:before="60" w:after="60"/>
            </w:pPr>
            <w:r/>
            <w:r>
              <w:rPr>
                <w:rFonts w:ascii="Calibri" w:hAnsi="Calibri"/>
                <w:color w:val="1A2430"/>
                <w:sz w:val="19"/>
              </w:rPr>
              <w:t>Payroll</w:t>
            </w:r>
          </w:p>
        </w:tc>
        <w:tc>
          <w:tcPr>
            <w:tcW w:type="dxa" w:w="1901"/>
          </w:tcPr>
          <w:p>
            <w:pPr>
              <w:spacing w:before="60" w:after="60"/>
            </w:pPr>
            <w:r/>
          </w:p>
        </w:tc>
        <w:tc>
          <w:tcPr>
            <w:tcW w:type="dxa" w:w="1901"/>
          </w:tcPr>
          <w:p>
            <w:pPr>
              <w:spacing w:before="60" w:after="60"/>
            </w:pPr>
            <w:r/>
          </w:p>
        </w:tc>
        <w:tc>
          <w:tcPr>
            <w:tcW w:type="dxa" w:w="1901"/>
          </w:tcPr>
          <w:p>
            <w:pPr>
              <w:spacing w:before="60" w:after="60"/>
            </w:pPr>
            <w:r/>
          </w:p>
        </w:tc>
        <w:tc>
          <w:tcPr>
            <w:tcW w:type="dxa" w:w="1901"/>
          </w:tcPr>
          <w:p>
            <w:pPr>
              <w:spacing w:before="60" w:after="60"/>
            </w:pPr>
            <w:r/>
          </w:p>
        </w:tc>
      </w:tr>
      <w:tr>
        <w:tc>
          <w:tcPr>
            <w:tcW w:type="dxa" w:w="1901"/>
            <w:shd w:val="clear" w:color="auto" w:fill="F6F5F1"/>
          </w:tcPr>
          <w:p>
            <w:pPr>
              <w:spacing w:before="60" w:after="60"/>
            </w:pPr>
            <w:r/>
            <w:r>
              <w:rPr>
                <w:rFonts w:ascii="Calibri" w:hAnsi="Calibri"/>
                <w:color w:val="1A2430"/>
                <w:sz w:val="19"/>
              </w:rPr>
              <w:t>Website and hosting</w:t>
            </w:r>
          </w:p>
        </w:tc>
        <w:tc>
          <w:tcPr>
            <w:tcW w:type="dxa" w:w="1901"/>
            <w:shd w:val="clear" w:color="auto" w:fill="F6F5F1"/>
          </w:tcPr>
          <w:p>
            <w:pPr>
              <w:spacing w:before="60" w:after="60"/>
            </w:pPr>
            <w:r/>
          </w:p>
        </w:tc>
        <w:tc>
          <w:tcPr>
            <w:tcW w:type="dxa" w:w="1901"/>
            <w:shd w:val="clear" w:color="auto" w:fill="F6F5F1"/>
          </w:tcPr>
          <w:p>
            <w:pPr>
              <w:spacing w:before="60" w:after="60"/>
            </w:pPr>
            <w:r/>
          </w:p>
        </w:tc>
        <w:tc>
          <w:tcPr>
            <w:tcW w:type="dxa" w:w="1901"/>
            <w:shd w:val="clear" w:color="auto" w:fill="F6F5F1"/>
          </w:tcPr>
          <w:p>
            <w:pPr>
              <w:spacing w:before="60" w:after="60"/>
            </w:pPr>
            <w:r/>
          </w:p>
        </w:tc>
        <w:tc>
          <w:tcPr>
            <w:tcW w:type="dxa" w:w="1901"/>
            <w:shd w:val="clear" w:color="auto" w:fill="F6F5F1"/>
          </w:tcPr>
          <w:p>
            <w:pPr>
              <w:spacing w:before="60" w:after="60"/>
            </w:pPr>
            <w:r/>
          </w:p>
        </w:tc>
      </w:tr>
      <w:tr>
        <w:tc>
          <w:tcPr>
            <w:tcW w:type="dxa" w:w="1901"/>
          </w:tcPr>
          <w:p>
            <w:pPr>
              <w:spacing w:before="60" w:after="60"/>
            </w:pPr>
            <w:r/>
            <w:r>
              <w:rPr>
                <w:rFonts w:ascii="Calibri" w:hAnsi="Calibri"/>
                <w:color w:val="1A2430"/>
                <w:sz w:val="19"/>
              </w:rPr>
              <w:t>Domain registrar</w:t>
            </w:r>
          </w:p>
        </w:tc>
        <w:tc>
          <w:tcPr>
            <w:tcW w:type="dxa" w:w="1901"/>
          </w:tcPr>
          <w:p>
            <w:pPr>
              <w:spacing w:before="60" w:after="60"/>
            </w:pPr>
            <w:r/>
          </w:p>
        </w:tc>
        <w:tc>
          <w:tcPr>
            <w:tcW w:type="dxa" w:w="1901"/>
          </w:tcPr>
          <w:p>
            <w:pPr>
              <w:spacing w:before="60" w:after="60"/>
            </w:pPr>
            <w:r/>
          </w:p>
        </w:tc>
        <w:tc>
          <w:tcPr>
            <w:tcW w:type="dxa" w:w="1901"/>
          </w:tcPr>
          <w:p>
            <w:pPr>
              <w:spacing w:before="60" w:after="60"/>
            </w:pPr>
            <w:r/>
          </w:p>
        </w:tc>
        <w:tc>
          <w:tcPr>
            <w:tcW w:type="dxa" w:w="1901"/>
          </w:tcPr>
          <w:p>
            <w:pPr>
              <w:spacing w:before="60" w:after="60"/>
            </w:pPr>
            <w:r/>
          </w:p>
        </w:tc>
      </w:tr>
      <w:tr>
        <w:tc>
          <w:tcPr>
            <w:tcW w:type="dxa" w:w="1901"/>
            <w:shd w:val="clear" w:color="auto" w:fill="F6F5F1"/>
          </w:tcPr>
          <w:p>
            <w:pPr>
              <w:spacing w:before="60" w:after="60"/>
            </w:pPr>
            <w:r/>
            <w:r>
              <w:rPr>
                <w:rFonts w:ascii="Calibri" w:hAnsi="Calibri"/>
                <w:color w:val="1A2430"/>
                <w:sz w:val="19"/>
              </w:rPr>
              <w:t>Phone system</w:t>
            </w:r>
          </w:p>
        </w:tc>
        <w:tc>
          <w:tcPr>
            <w:tcW w:type="dxa" w:w="1901"/>
            <w:shd w:val="clear" w:color="auto" w:fill="F6F5F1"/>
          </w:tcPr>
          <w:p>
            <w:pPr>
              <w:spacing w:before="60" w:after="60"/>
            </w:pPr>
            <w:r/>
          </w:p>
        </w:tc>
        <w:tc>
          <w:tcPr>
            <w:tcW w:type="dxa" w:w="1901"/>
            <w:shd w:val="clear" w:color="auto" w:fill="F6F5F1"/>
          </w:tcPr>
          <w:p>
            <w:pPr>
              <w:spacing w:before="60" w:after="60"/>
            </w:pPr>
            <w:r/>
          </w:p>
        </w:tc>
        <w:tc>
          <w:tcPr>
            <w:tcW w:type="dxa" w:w="1901"/>
            <w:shd w:val="clear" w:color="auto" w:fill="F6F5F1"/>
          </w:tcPr>
          <w:p>
            <w:pPr>
              <w:spacing w:before="60" w:after="60"/>
            </w:pPr>
            <w:r/>
          </w:p>
        </w:tc>
        <w:tc>
          <w:tcPr>
            <w:tcW w:type="dxa" w:w="1901"/>
            <w:shd w:val="clear" w:color="auto" w:fill="F6F5F1"/>
          </w:tcPr>
          <w:p>
            <w:pPr>
              <w:spacing w:before="60" w:after="60"/>
            </w:pPr>
            <w:r/>
          </w:p>
        </w:tc>
      </w:tr>
      <w:tr>
        <w:tc>
          <w:tcPr>
            <w:tcW w:type="dxa" w:w="1901"/>
          </w:tcPr>
          <w:p>
            <w:pPr>
              <w:spacing w:before="60" w:after="60"/>
            </w:pPr>
            <w:r/>
            <w:r>
              <w:rPr>
                <w:rFonts w:ascii="Calibri" w:hAnsi="Calibri"/>
                <w:color w:val="1A2430"/>
                <w:sz w:val="19"/>
              </w:rPr>
              <w:t>Line of business software</w:t>
            </w:r>
          </w:p>
        </w:tc>
        <w:tc>
          <w:tcPr>
            <w:tcW w:type="dxa" w:w="1901"/>
          </w:tcPr>
          <w:p>
            <w:pPr>
              <w:spacing w:before="60" w:after="60"/>
            </w:pPr>
            <w:r/>
          </w:p>
        </w:tc>
        <w:tc>
          <w:tcPr>
            <w:tcW w:type="dxa" w:w="1901"/>
          </w:tcPr>
          <w:p>
            <w:pPr>
              <w:spacing w:before="60" w:after="60"/>
            </w:pPr>
            <w:r/>
          </w:p>
        </w:tc>
        <w:tc>
          <w:tcPr>
            <w:tcW w:type="dxa" w:w="1901"/>
          </w:tcPr>
          <w:p>
            <w:pPr>
              <w:spacing w:before="60" w:after="60"/>
            </w:pPr>
            <w:r/>
          </w:p>
        </w:tc>
        <w:tc>
          <w:tcPr>
            <w:tcW w:type="dxa" w:w="1901"/>
          </w:tcPr>
          <w:p>
            <w:pPr>
              <w:spacing w:before="60" w:after="60"/>
            </w:pPr>
            <w:r/>
          </w:p>
        </w:tc>
      </w:tr>
    </w:tbl>
    <w:p>
      <w:pPr>
        <w:spacing w:after="80"/>
      </w:pPr>
    </w:p>
    <w:p>
      <w:pPr>
        <w:spacing w:before="320" w:after="100"/>
        <w:pBdr>
          <w:bottom w:val="single" w:sz="4" w:space="4" w:color="E4E0D6"/>
        </w:pBdr>
      </w:pPr>
      <w:r>
        <w:rPr>
          <w:rFonts w:ascii="Georgia" w:hAnsi="Georgia"/>
          <w:b/>
          <w:color w:val="1E2A38"/>
          <w:sz w:val="30"/>
        </w:rPr>
        <w:t>Backups</w:t>
      </w:r>
    </w:p>
    <w:tbl>
      <w:tblPr>
        <w:tblW w:type="auto" w:w="0"/>
        <w:jc w:val="left"/>
        <w:tblLook w:firstColumn="1" w:firstRow="1" w:lastColumn="0" w:lastRow="0" w:noHBand="0" w:noVBand="1" w:val="04A0"/>
        <w:tblBorders>
          <w:top w:val="single" w:sz="4" w:space="0" w:color="E4E0D6"/>
          <w:left w:val="single" w:sz="4" w:space="0" w:color="E4E0D6"/>
          <w:bottom w:val="single" w:sz="4" w:space="0" w:color="E4E0D6"/>
          <w:right w:val="single" w:sz="4" w:space="0" w:color="E4E0D6"/>
          <w:insideH w:val="single" w:sz="4" w:space="0" w:color="E4E0D6"/>
          <w:insideV w:val="single" w:sz="4" w:space="0" w:color="E4E0D6"/>
        </w:tblBorders>
      </w:tblPr>
      <w:tblGrid>
        <w:gridCol w:w="1901"/>
        <w:gridCol w:w="1901"/>
        <w:gridCol w:w="1901"/>
        <w:gridCol w:w="1901"/>
        <w:gridCol w:w="1901"/>
      </w:tblGrid>
      <w:tr>
        <w:tc>
          <w:tcPr>
            <w:tcW w:type="dxa" w:w="1901"/>
            <w:shd w:val="clear" w:color="auto" w:fill="1E2A38"/>
          </w:tcPr>
          <w:p>
            <w:pPr>
              <w:spacing w:before="80" w:after="80"/>
            </w:pPr>
            <w:r>
              <w:rPr>
                <w:b/>
                <w:color w:val="F7F2E8"/>
              </w:rPr>
            </w:r>
            <w:r>
              <w:rPr>
                <w:rFonts w:ascii="Calibri" w:hAnsi="Calibri"/>
                <w:b/>
                <w:color w:val="F7F2E8"/>
                <w:sz w:val="19"/>
              </w:rPr>
              <w:t>What is backed up</w:t>
            </w:r>
          </w:p>
        </w:tc>
        <w:tc>
          <w:tcPr>
            <w:tcW w:type="dxa" w:w="1901"/>
            <w:shd w:val="clear" w:color="auto" w:fill="1E2A38"/>
          </w:tcPr>
          <w:p>
            <w:pPr>
              <w:spacing w:before="80" w:after="80"/>
            </w:pPr>
            <w:r>
              <w:rPr>
                <w:b/>
                <w:color w:val="F7F2E8"/>
              </w:rPr>
            </w:r>
            <w:r>
              <w:rPr>
                <w:rFonts w:ascii="Calibri" w:hAnsi="Calibri"/>
                <w:b/>
                <w:color w:val="F7F2E8"/>
                <w:sz w:val="19"/>
              </w:rPr>
              <w:t>To where</w:t>
            </w:r>
          </w:p>
        </w:tc>
        <w:tc>
          <w:tcPr>
            <w:tcW w:type="dxa" w:w="1901"/>
            <w:shd w:val="clear" w:color="auto" w:fill="1E2A38"/>
          </w:tcPr>
          <w:p>
            <w:pPr>
              <w:spacing w:before="80" w:after="80"/>
            </w:pPr>
            <w:r>
              <w:rPr>
                <w:b/>
                <w:color w:val="F7F2E8"/>
              </w:rPr>
            </w:r>
            <w:r>
              <w:rPr>
                <w:rFonts w:ascii="Calibri" w:hAnsi="Calibri"/>
                <w:b/>
                <w:color w:val="F7F2E8"/>
                <w:sz w:val="19"/>
              </w:rPr>
              <w:t>How often</w:t>
            </w:r>
          </w:p>
        </w:tc>
        <w:tc>
          <w:tcPr>
            <w:tcW w:type="dxa" w:w="1901"/>
            <w:shd w:val="clear" w:color="auto" w:fill="1E2A38"/>
          </w:tcPr>
          <w:p>
            <w:pPr>
              <w:spacing w:before="80" w:after="80"/>
            </w:pPr>
            <w:r>
              <w:rPr>
                <w:b/>
                <w:color w:val="F7F2E8"/>
              </w:rPr>
            </w:r>
            <w:r>
              <w:rPr>
                <w:rFonts w:ascii="Calibri" w:hAnsi="Calibri"/>
                <w:b/>
                <w:color w:val="F7F2E8"/>
                <w:sz w:val="19"/>
              </w:rPr>
              <w:t>Last tested restore</w:t>
            </w:r>
          </w:p>
        </w:tc>
        <w:tc>
          <w:tcPr>
            <w:tcW w:type="dxa" w:w="1901"/>
            <w:shd w:val="clear" w:color="auto" w:fill="1E2A38"/>
          </w:tcPr>
          <w:p>
            <w:pPr>
              <w:spacing w:before="80" w:after="80"/>
            </w:pPr>
            <w:r>
              <w:rPr>
                <w:b/>
                <w:color w:val="F7F2E8"/>
              </w:rPr>
            </w:r>
            <w:r>
              <w:rPr>
                <w:rFonts w:ascii="Calibri" w:hAnsi="Calibri"/>
                <w:b/>
                <w:color w:val="F7F2E8"/>
                <w:sz w:val="19"/>
              </w:rPr>
              <w:t>Who checks it</w:t>
            </w:r>
          </w:p>
        </w:tc>
      </w:tr>
      <w:tr>
        <w:tc>
          <w:tcPr>
            <w:tcW w:type="dxa" w:w="1901"/>
          </w:tcPr>
          <w:p>
            <w:pPr>
              <w:spacing w:before="60" w:after="60"/>
            </w:pPr>
            <w:r/>
          </w:p>
        </w:tc>
        <w:tc>
          <w:tcPr>
            <w:tcW w:type="dxa" w:w="1901"/>
          </w:tcPr>
          <w:p>
            <w:pPr>
              <w:spacing w:before="60" w:after="60"/>
            </w:pPr>
            <w:r/>
          </w:p>
        </w:tc>
        <w:tc>
          <w:tcPr>
            <w:tcW w:type="dxa" w:w="1901"/>
          </w:tcPr>
          <w:p>
            <w:pPr>
              <w:spacing w:before="60" w:after="60"/>
            </w:pPr>
            <w:r/>
          </w:p>
        </w:tc>
        <w:tc>
          <w:tcPr>
            <w:tcW w:type="dxa" w:w="1901"/>
          </w:tcPr>
          <w:p>
            <w:pPr>
              <w:spacing w:before="60" w:after="60"/>
            </w:pPr>
            <w:r/>
          </w:p>
        </w:tc>
        <w:tc>
          <w:tcPr>
            <w:tcW w:type="dxa" w:w="1901"/>
          </w:tcPr>
          <w:p>
            <w:pPr>
              <w:spacing w:before="60" w:after="60"/>
            </w:pPr>
            <w:r/>
          </w:p>
        </w:tc>
      </w:tr>
    </w:tbl>
    <w:p>
      <w:pPr>
        <w:spacing w:after="80"/>
      </w:pPr>
    </w:p>
    <w:p>
      <w:pPr>
        <w:spacing w:before="320" w:after="100"/>
        <w:pBdr>
          <w:bottom w:val="single" w:sz="4" w:space="4" w:color="E4E0D6"/>
        </w:pBdr>
      </w:pPr>
      <w:r>
        <w:rPr>
          <w:rFonts w:ascii="Georgia" w:hAnsi="Georgia"/>
          <w:b/>
          <w:color w:val="1E2A38"/>
          <w:sz w:val="30"/>
        </w:rPr>
        <w:t>Network</w:t>
      </w:r>
    </w:p>
    <w:p>
      <w:pPr>
        <w:pStyle w:val="ListBullet"/>
        <w:spacing w:after="60"/>
      </w:pPr>
      <w:r>
        <w:rPr>
          <w:rFonts w:ascii="Calibri" w:hAnsi="Calibri"/>
          <w:color w:val="1A2430"/>
          <w:sz w:val="21"/>
        </w:rPr>
        <w:t xml:space="preserve">Internet provider and account number: </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r>
    </w:p>
    <w:p>
      <w:pPr>
        <w:pStyle w:val="ListBullet"/>
        <w:spacing w:after="60"/>
      </w:pPr>
      <w:r>
        <w:rPr>
          <w:rFonts w:ascii="Calibri" w:hAnsi="Calibri"/>
          <w:color w:val="1A2430"/>
          <w:sz w:val="21"/>
        </w:rPr>
        <w:t xml:space="preserve">Router or firewall model, and who configured it: </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r>
    </w:p>
    <w:p>
      <w:pPr>
        <w:pStyle w:val="ListBullet"/>
        <w:spacing w:after="60"/>
      </w:pPr>
      <w:r>
        <w:rPr>
          <w:rFonts w:ascii="Calibri" w:hAnsi="Calibri"/>
          <w:color w:val="1A2430"/>
          <w:sz w:val="21"/>
        </w:rPr>
        <w:t xml:space="preserve">Wi-Fi networks in use, and what each is for: </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r>
    </w:p>
    <w:p>
      <w:pPr>
        <w:pStyle w:val="ListBullet"/>
        <w:spacing w:after="60"/>
      </w:pPr>
      <w:r>
        <w:rPr>
          <w:rFonts w:ascii="Calibri" w:hAnsi="Calibri"/>
          <w:color w:val="1A2430"/>
          <w:sz w:val="21"/>
        </w:rPr>
        <w:t>Is there a separate guest network: Yes / No</w:t>
      </w:r>
    </w:p>
    <w:p>
      <w:pPr>
        <w:pStyle w:val="ListBullet"/>
        <w:spacing w:after="60"/>
      </w:pPr>
      <w:r>
        <w:rPr>
          <w:rFonts w:ascii="Calibri" w:hAnsi="Calibri"/>
          <w:color w:val="1A2430"/>
          <w:sz w:val="21"/>
        </w:rPr>
        <w:t>Is equipment on its own segment: Yes / No</w:t>
      </w:r>
    </w:p>
    <w:p>
      <w:pPr>
        <w:spacing w:before="320" w:after="100"/>
        <w:pBdr>
          <w:bottom w:val="single" w:sz="4" w:space="4" w:color="E4E0D6"/>
        </w:pBdr>
      </w:pPr>
      <w:r>
        <w:rPr>
          <w:rFonts w:ascii="Georgia" w:hAnsi="Georgia"/>
          <w:b/>
          <w:color w:val="1E2A38"/>
          <w:sz w:val="30"/>
        </w:rPr>
        <w:t>Access</w:t>
      </w:r>
    </w:p>
    <w:p>
      <w:pPr>
        <w:pStyle w:val="ListBullet"/>
        <w:spacing w:after="60"/>
      </w:pPr>
      <w:r>
        <w:rPr>
          <w:rFonts w:ascii="Calibri" w:hAnsi="Calibri"/>
          <w:color w:val="1A2430"/>
          <w:sz w:val="21"/>
        </w:rPr>
        <w:t xml:space="preserve">Where are passwords kept: </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r>
    </w:p>
    <w:p>
      <w:pPr>
        <w:pStyle w:val="ListBullet"/>
        <w:spacing w:after="60"/>
      </w:pPr>
      <w:r>
        <w:rPr>
          <w:rFonts w:ascii="Calibri" w:hAnsi="Calibri"/>
          <w:color w:val="1A2430"/>
          <w:sz w:val="21"/>
        </w:rPr>
        <w:t>Who has administrator rights, and to what: see the Administrator Access Review template</w:t>
      </w:r>
    </w:p>
    <w:p>
      <w:pPr>
        <w:pStyle w:val="ListBullet"/>
        <w:spacing w:after="60"/>
      </w:pPr>
      <w:r>
        <w:rPr>
          <w:rFonts w:ascii="Calibri" w:hAnsi="Calibri"/>
          <w:color w:val="1A2430"/>
          <w:sz w:val="21"/>
        </w:rPr>
        <w:t xml:space="preserve">Who is the second person who could get in if the first is unavailable: </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t>_</w:t>
      </w:r>
      <w:r>
        <w:rPr>
          <w:rFonts w:ascii="Calibri" w:hAnsi="Calibri"/>
          <w:b/>
          <w:color w:val="1A2430"/>
          <w:sz w:val="21"/>
        </w:rPr>
      </w:r>
    </w:p>
    <w:p>
      <w:pPr>
        <w:spacing w:before="320" w:after="100"/>
        <w:pBdr>
          <w:bottom w:val="single" w:sz="4" w:space="4" w:color="E4E0D6"/>
        </w:pBdr>
      </w:pPr>
      <w:r>
        <w:rPr>
          <w:rFonts w:ascii="Georgia" w:hAnsi="Georgia"/>
          <w:b/>
          <w:color w:val="1E2A38"/>
          <w:sz w:val="30"/>
        </w:rPr>
        <w:t>How to store this document</w:t>
      </w:r>
    </w:p>
    <w:p>
      <w:r>
        <w:rPr>
          <w:rFonts w:ascii="Calibri" w:hAnsi="Calibri"/>
          <w:b/>
          <w:color w:val="1A2430"/>
          <w:sz w:val="21"/>
        </w:rPr>
        <w:t>Do not put any passwords in it.</w:t>
      </w:r>
      <w:r>
        <w:rPr>
          <w:rFonts w:ascii="Calibri" w:hAnsi="Calibri"/>
          <w:color w:val="1A2430"/>
          <w:sz w:val="21"/>
        </w:rPr>
        <w:t xml:space="preserve"> It records where things are, not how to get in.</w:t>
      </w:r>
    </w:p>
    <w:p>
      <w:r>
        <w:rPr>
          <w:rFonts w:ascii="Calibri" w:hAnsi="Calibri"/>
          <w:color w:val="1A2430"/>
          <w:sz w:val="21"/>
        </w:rPr>
        <w:t>Even without passwords this is a map of your business. Keep it where only the owner and one other person can read it, not on an open shared drive, and keep one printed copy somewhere that does not depend on the systems it describes.</w:t>
      </w:r>
    </w:p>
    <w:p>
      <w:pPr>
        <w:spacing w:before="320" w:after="100"/>
        <w:pBdr>
          <w:bottom w:val="single" w:sz="4" w:space="4" w:color="E4E0D6"/>
        </w:pBdr>
      </w:pPr>
      <w:r>
        <w:rPr>
          <w:rFonts w:ascii="Georgia" w:hAnsi="Georgia"/>
          <w:b/>
          <w:color w:val="1E2A38"/>
          <w:sz w:val="30"/>
        </w:rPr>
        <w:t>Why this is worth an afternoon</w:t>
      </w:r>
    </w:p>
    <w:p>
      <w:r>
        <w:rPr>
          <w:rFonts w:ascii="Calibri" w:hAnsi="Calibri"/>
          <w:color w:val="1A2430"/>
          <w:sz w:val="21"/>
        </w:rPr>
        <w:t>It is the difference between an incident that takes hours and one that takes days, it makes every quote you receive more accurate, and if you ever change providers it is the thing that stops the next one billing you to rediscover what somebody already knew.</w:t>
      </w:r>
    </w:p>
    <w:p>
      <w:pPr>
        <w:spacing w:before="80" w:after="200"/>
        <w:pBdr>
          <w:bottom w:val="single" w:sz="6" w:space="1" w:color="E4E0D6"/>
        </w:pBdr>
      </w:pPr>
    </w:p>
    <w:p>
      <w:r>
        <w:rPr>
          <w:rFonts w:ascii="Calibri" w:hAnsi="Calibri"/>
          <w:i/>
          <w:color w:val="1A2430"/>
          <w:sz w:val="21"/>
        </w:rPr>
        <w:t>Version 1.0, August 2026. Figures in Canadian dollars unless stated. Checked at time of writing; verify anything time-sensitive before relying on it.</w:t>
      </w:r>
    </w:p>
    <w:p>
      <w:r>
        <w:rPr>
          <w:rFonts w:ascii="Calibri" w:hAnsi="Calibri"/>
          <w:i/>
          <w:color w:val="1A2430"/>
          <w:sz w:val="21"/>
        </w:rPr>
        <w:t>Free to use and share. From Brevity.Tech, managed IT and automation for small businesses across Metro Vancouver. brevitytech.ca</w:t>
      </w:r>
    </w:p>
    <w:sectPr w:rsidR="00FC693F" w:rsidRPr="0006063C" w:rsidSect="00034616">
      <w:headerReference w:type="default" r:id="rId9"/>
      <w:footerReference w:type="default" r:id="rId10"/>
      <w:pgSz w:w="12240" w:h="15840"/>
      <w:pgMar w:top="1008" w:right="1368" w:bottom="1080" w:left="136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04" w:val="right"/>
      </w:tabs>
      <w:pBdr>
        <w:top w:val="single" w:sz="6" w:space="6" w:color="E4E0D6"/>
      </w:pBdr>
    </w:pPr>
    <w:r>
      <w:rPr>
        <w:rFonts w:ascii="Calibri" w:hAnsi="Calibri"/>
        <w:color w:val="4E5A66"/>
        <w:sz w:val="17"/>
      </w:rPr>
      <w:t>brevitytech.ca  ·  778-321-2372  ·  contact@brevitytech.ca</w:t>
    </w:r>
    <w:r>
      <w:tab/>
    </w:r>
    <w:r>
      <w:rPr>
        <w:rFonts w:ascii="Calibri" w:hAnsi="Calibri"/>
        <w:color w:val="4E5A66"/>
        <w:sz w:val="17"/>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504" w:val="right"/>
      </w:tabs>
      <w:pBdr>
        <w:bottom w:val="single" w:sz="6" w:space="6" w:color="E4E0D6"/>
      </w:pBdr>
    </w:pPr>
    <w:r>
      <w:drawing>
        <wp:inline xmlns:a="http://schemas.openxmlformats.org/drawingml/2006/main" xmlns:pic="http://schemas.openxmlformats.org/drawingml/2006/picture">
          <wp:extent cx="960120" cy="427584"/>
          <wp:docPr id="1" name="Picture 1"/>
          <wp:cNvGraphicFramePr>
            <a:graphicFrameLocks noChangeAspect="1"/>
          </wp:cNvGraphicFramePr>
          <a:graphic>
            <a:graphicData uri="http://schemas.openxmlformats.org/drawingml/2006/picture">
              <pic:pic>
                <pic:nvPicPr>
                  <pic:cNvPr id="0" name="brevity-wordmark-dark.png"/>
                  <pic:cNvPicPr/>
                </pic:nvPicPr>
                <pic:blipFill>
                  <a:blip r:embed="rId1"/>
                  <a:stretch>
                    <a:fillRect/>
                  </a:stretch>
                </pic:blipFill>
                <pic:spPr>
                  <a:xfrm>
                    <a:off x="0" y="0"/>
                    <a:ext cx="960120" cy="427584"/>
                  </a:xfrm>
                  <a:prstGeom prst="rect"/>
                </pic:spPr>
              </pic:pic>
            </a:graphicData>
          </a:graphic>
        </wp:inline>
      </w:drawing>
    </w:r>
    <w:r>
      <w:rPr>
        <w:rFonts w:ascii="Calibri" w:hAnsi="Calibri"/>
        <w:color w:val="4E5A66"/>
        <w:sz w:val="17"/>
      </w:rPr>
      <w:tab/>
      <w:t>What We Run And Where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color w:val="1A24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