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pPr>
      <w:r>
        <w:rPr>
          <w:rFonts w:ascii="Georgia" w:hAnsi="Georgia"/>
          <w:b/>
          <w:color w:val="1E2A38"/>
          <w:sz w:val="52"/>
        </w:rPr>
        <w:t>We think we have been hacked: the first hour</w:t>
      </w:r>
    </w:p>
    <w:p>
      <w:pPr>
        <w:spacing w:before="0" w:after="280"/>
        <w:pBdr>
          <w:bottom w:val="single" w:sz="18" w:space="1" w:color="C98A1E"/>
        </w:pBdr>
      </w:pPr>
    </w:p>
    <w:p>
      <w:r>
        <w:rPr>
          <w:rFonts w:ascii="Calibri" w:hAnsi="Calibri"/>
          <w:color w:val="1A2430"/>
          <w:sz w:val="21"/>
        </w:rPr>
        <w:t>A one-page plan for the moment something looks wrong. Print it and keep it somewhere that does not depend on your email working.</w:t>
      </w:r>
    </w:p>
    <w:p>
      <w:r>
        <w:rPr>
          <w:rFonts w:ascii="Calibri" w:hAnsi="Calibri"/>
          <w:color w:val="1A2430"/>
          <w:sz w:val="21"/>
        </w:rPr>
        <w:t>Free to use and adapt.</w:t>
      </w:r>
    </w:p>
    <w:p>
      <w:pPr>
        <w:spacing w:before="80" w:after="200"/>
        <w:pBdr>
          <w:bottom w:val="single" w:sz="6" w:space="1" w:color="E4E0D6"/>
        </w:pBdr>
      </w:pPr>
    </w:p>
    <w:p>
      <w:pPr>
        <w:spacing w:before="320" w:after="100"/>
        <w:pBdr>
          <w:bottom w:val="single" w:sz="4" w:space="4" w:color="E4E0D6"/>
        </w:pBdr>
      </w:pPr>
      <w:r>
        <w:rPr>
          <w:rFonts w:ascii="Georgia" w:hAnsi="Georgia"/>
          <w:b/>
          <w:color w:val="1E2A38"/>
          <w:sz w:val="30"/>
        </w:rPr>
        <w:t>Before you do anything</w:t>
      </w:r>
    </w:p>
    <w:p>
      <w:r>
        <w:rPr>
          <w:rFonts w:ascii="Calibri" w:hAnsi="Calibri"/>
          <w:b/>
          <w:color w:val="1A2430"/>
          <w:sz w:val="21"/>
        </w:rPr>
        <w:t>Do not turn the computer off.</w:t>
      </w:r>
      <w:r>
        <w:rPr>
          <w:rFonts w:ascii="Calibri" w:hAnsi="Calibri"/>
          <w:color w:val="1A2430"/>
          <w:sz w:val="21"/>
        </w:rPr>
        <w:t xml:space="preserve"> Powering down can destroy evidence and, with some ransomware, makes recovery harder. Disconnect it from the network instead: unplug the cable, turn off Wi-Fi.</w:t>
      </w:r>
    </w:p>
    <w:p>
      <w:r>
        <w:rPr>
          <w:rFonts w:ascii="Calibri" w:hAnsi="Calibri"/>
          <w:b/>
          <w:color w:val="1A2430"/>
          <w:sz w:val="21"/>
        </w:rPr>
        <w:t>Do not delete anything.</w:t>
      </w:r>
      <w:r>
        <w:rPr>
          <w:rFonts w:ascii="Calibri" w:hAnsi="Calibri"/>
          <w:color w:val="1A2430"/>
          <w:sz w:val="21"/>
        </w:rPr>
        <w:t xml:space="preserve"> Not the suspicious email, not the strange file. You will need them.</w:t>
      </w:r>
    </w:p>
    <w:p>
      <w:r>
        <w:rPr>
          <w:rFonts w:ascii="Calibri" w:hAnsi="Calibri"/>
          <w:b/>
          <w:color w:val="1A2430"/>
          <w:sz w:val="21"/>
        </w:rPr>
        <w:t>Write down the time.</w:t>
      </w:r>
      <w:r>
        <w:rPr>
          <w:rFonts w:ascii="Calibri" w:hAnsi="Calibri"/>
          <w:color w:val="1A2430"/>
          <w:sz w:val="21"/>
        </w:rPr>
        <w:t xml:space="preserve"> Start a simple log now and keep adding to it. What you saw, when, and what you did. This matters later for your insurer and possibly your regulator.</w:t>
      </w:r>
    </w:p>
    <w:p>
      <w:pPr>
        <w:spacing w:before="80" w:after="200"/>
        <w:pBdr>
          <w:bottom w:val="single" w:sz="6" w:space="1" w:color="E4E0D6"/>
        </w:pBdr>
      </w:pPr>
    </w:p>
    <w:p>
      <w:pPr>
        <w:spacing w:before="320" w:after="100"/>
        <w:pBdr>
          <w:bottom w:val="single" w:sz="4" w:space="4" w:color="E4E0D6"/>
        </w:pBdr>
      </w:pPr>
      <w:r>
        <w:rPr>
          <w:rFonts w:ascii="Georgia" w:hAnsi="Georgia"/>
          <w:b/>
          <w:color w:val="1E2A38"/>
          <w:sz w:val="30"/>
        </w:rPr>
        <w:t>The first fifteen minutes</w:t>
      </w:r>
    </w:p>
    <w:p>
      <w:pPr>
        <w:spacing w:after="60"/>
        <w:ind w:left="360"/>
      </w:pPr>
      <w:r>
        <w:rPr>
          <w:rFonts w:ascii="Segoe UI Symbol" w:hAnsi="Segoe UI Symbol"/>
          <w:color w:val="4E5A66"/>
          <w:sz w:val="22"/>
        </w:rPr>
        <w:t xml:space="preserve">☐  </w:t>
      </w:r>
      <w:r>
        <w:rPr>
          <w:rFonts w:ascii="Calibri" w:hAnsi="Calibri"/>
          <w:color w:val="1A2430"/>
          <w:sz w:val="21"/>
        </w:rPr>
        <w:t>Disconnect affected devices from the network, but leave them powered on</w:t>
      </w:r>
    </w:p>
    <w:p>
      <w:pPr>
        <w:spacing w:after="60"/>
        <w:ind w:left="360"/>
      </w:pPr>
      <w:r>
        <w:rPr>
          <w:rFonts w:ascii="Segoe UI Symbol" w:hAnsi="Segoe UI Symbol"/>
          <w:color w:val="4E5A66"/>
          <w:sz w:val="22"/>
        </w:rPr>
        <w:t xml:space="preserve">☐  </w:t>
      </w:r>
      <w:r>
        <w:rPr>
          <w:rFonts w:ascii="Calibri" w:hAnsi="Calibri"/>
          <w:color w:val="1A2430"/>
          <w:sz w:val="21"/>
        </w:rPr>
        <w:t>Tell one person who is coordinating. One channel, no rumour mill.</w:t>
      </w:r>
    </w:p>
    <w:p>
      <w:pPr>
        <w:spacing w:after="60"/>
        <w:ind w:left="360"/>
      </w:pPr>
      <w:r>
        <w:rPr>
          <w:rFonts w:ascii="Segoe UI Symbol" w:hAnsi="Segoe UI Symbol"/>
          <w:color w:val="4E5A66"/>
          <w:sz w:val="22"/>
        </w:rPr>
        <w:t xml:space="preserve">☐  </w:t>
      </w:r>
      <w:r>
        <w:rPr>
          <w:rFonts w:ascii="Calibri" w:hAnsi="Calibri"/>
          <w:color w:val="1A2430"/>
          <w:sz w:val="21"/>
        </w:rPr>
        <w:t>Call your IT provider. Write their number in the table at the end of this page now, while</w:t>
      </w:r>
    </w:p>
    <w:p>
      <w:r>
        <w:rPr>
          <w:rFonts w:ascii="Calibri" w:hAnsi="Calibri"/>
          <w:color w:val="1A2430"/>
          <w:sz w:val="21"/>
        </w:rPr>
        <w:t xml:space="preserve">      things are calm.</w:t>
      </w:r>
    </w:p>
    <w:p>
      <w:pPr>
        <w:spacing w:after="60"/>
        <w:ind w:left="360"/>
      </w:pPr>
      <w:r>
        <w:rPr>
          <w:rFonts w:ascii="Segoe UI Symbol" w:hAnsi="Segoe UI Symbol"/>
          <w:color w:val="4E5A66"/>
          <w:sz w:val="22"/>
        </w:rPr>
        <w:t xml:space="preserve">☐  </w:t>
      </w:r>
      <w:r>
        <w:rPr>
          <w:rFonts w:ascii="Calibri" w:hAnsi="Calibri"/>
          <w:color w:val="1A2430"/>
          <w:sz w:val="21"/>
        </w:rPr>
        <w:t>No IT provider, or cannot reach them? Brevity.Tech is on 778-321-2372 during business</w:t>
      </w:r>
    </w:p>
    <w:p>
      <w:r>
        <w:rPr>
          <w:rFonts w:ascii="Calibri" w:hAnsi="Calibri"/>
          <w:color w:val="1A2430"/>
          <w:sz w:val="21"/>
        </w:rPr>
        <w:t xml:space="preserve">      hours. If it is out of hours and serious, call your cyber insurer's incident line first.       They run around the clock and you are already paying for it.</w:t>
      </w:r>
    </w:p>
    <w:p>
      <w:pPr>
        <w:spacing w:after="60"/>
        <w:ind w:left="360"/>
      </w:pPr>
      <w:r>
        <w:rPr>
          <w:rFonts w:ascii="Segoe UI Symbol" w:hAnsi="Segoe UI Symbol"/>
          <w:color w:val="4E5A66"/>
          <w:sz w:val="22"/>
        </w:rPr>
        <w:t xml:space="preserve">☐  </w:t>
      </w:r>
      <w:r>
        <w:rPr>
          <w:rFonts w:ascii="Calibri" w:hAnsi="Calibri"/>
          <w:color w:val="1A2430"/>
          <w:sz w:val="21"/>
        </w:rPr>
        <w:t>Do not use the possibly-compromised email account to discuss it. Use phone or text.</w:t>
      </w:r>
    </w:p>
    <w:p>
      <w:pPr>
        <w:spacing w:before="320" w:after="100"/>
        <w:pBdr>
          <w:bottom w:val="single" w:sz="4" w:space="4" w:color="E4E0D6"/>
        </w:pBdr>
      </w:pPr>
      <w:r>
        <w:rPr>
          <w:rFonts w:ascii="Georgia" w:hAnsi="Georgia"/>
          <w:b/>
          <w:color w:val="1E2A38"/>
          <w:sz w:val="30"/>
        </w:rPr>
        <w:t>The first hour</w:t>
      </w:r>
    </w:p>
    <w:p>
      <w:r>
        <w:rPr>
          <w:rFonts w:ascii="Calibri" w:hAnsi="Calibri"/>
          <w:color w:val="1A2430"/>
          <w:sz w:val="21"/>
        </w:rPr>
        <w:t xml:space="preserve">Order matters here. Remove the attacker's foothold </w:t>
      </w:r>
      <w:r>
        <w:rPr>
          <w:rFonts w:ascii="Calibri" w:hAnsi="Calibri"/>
          <w:b/>
          <w:color w:val="1A2430"/>
          <w:sz w:val="21"/>
        </w:rPr>
        <w:t>before</w:t>
      </w:r>
      <w:r>
        <w:rPr>
          <w:rFonts w:ascii="Calibri" w:hAnsi="Calibri"/>
          <w:color w:val="1A2430"/>
          <w:sz w:val="21"/>
        </w:rPr>
        <w:t xml:space="preserve"> you reset the password, or they simply sign back in.</w:t>
      </w:r>
    </w:p>
    <w:p>
      <w:pPr>
        <w:spacing w:after="60"/>
        <w:ind w:left="360"/>
      </w:pPr>
      <w:r>
        <w:rPr>
          <w:rFonts w:ascii="Segoe UI Symbol" w:hAnsi="Segoe UI Symbol"/>
          <w:color w:val="4E5A66"/>
          <w:sz w:val="22"/>
        </w:rPr>
        <w:t xml:space="preserve">☐  </w:t>
      </w:r>
      <w:r>
        <w:rPr>
          <w:rFonts w:ascii="Calibri" w:hAnsi="Calibri"/>
          <w:b/>
          <w:color w:val="1A2430"/>
          <w:sz w:val="21"/>
        </w:rPr>
        <w:t>First:</w:t>
      </w:r>
      <w:r>
        <w:rPr>
          <w:rFonts w:ascii="Calibri" w:hAnsi="Calibri"/>
          <w:color w:val="1A2430"/>
          <w:sz w:val="21"/>
        </w:rPr>
        <w:t xml:space="preserve"> check for multi-factor methods, phone numbers, or devices you do not recognise</w:t>
      </w:r>
    </w:p>
    <w:p>
      <w:r>
        <w:rPr>
          <w:rFonts w:ascii="Calibri" w:hAnsi="Calibri"/>
          <w:color w:val="1A2430"/>
          <w:sz w:val="21"/>
        </w:rPr>
        <w:t xml:space="preserve">      on the affected account, and remove them. An attacker who registered their own method can       get straight back in after a password reset.</w:t>
      </w:r>
    </w:p>
    <w:p>
      <w:pPr>
        <w:spacing w:after="60"/>
        <w:ind w:left="360"/>
      </w:pPr>
      <w:r>
        <w:rPr>
          <w:rFonts w:ascii="Segoe UI Symbol" w:hAnsi="Segoe UI Symbol"/>
          <w:color w:val="4E5A66"/>
          <w:sz w:val="22"/>
        </w:rPr>
        <w:t xml:space="preserve">☐  </w:t>
      </w:r>
      <w:r>
        <w:rPr>
          <w:rFonts w:ascii="Calibri" w:hAnsi="Calibri"/>
          <w:color w:val="1A2430"/>
          <w:sz w:val="21"/>
        </w:rPr>
        <w:t>Check for app passwords and OAuth app consents granted to apps you did not approve. These</w:t>
      </w:r>
    </w:p>
    <w:p>
      <w:r>
        <w:rPr>
          <w:rFonts w:ascii="Calibri" w:hAnsi="Calibri"/>
          <w:color w:val="1A2430"/>
          <w:sz w:val="21"/>
        </w:rPr>
        <w:t xml:space="preserve">      survive a password change.</w:t>
      </w:r>
    </w:p>
    <w:p>
      <w:pPr>
        <w:spacing w:after="60"/>
        <w:ind w:left="360"/>
      </w:pPr>
      <w:r>
        <w:rPr>
          <w:rFonts w:ascii="Segoe UI Symbol" w:hAnsi="Segoe UI Symbol"/>
          <w:color w:val="4E5A66"/>
          <w:sz w:val="22"/>
        </w:rPr>
        <w:t xml:space="preserve">☐  </w:t>
      </w:r>
      <w:r>
        <w:rPr>
          <w:rFonts w:ascii="Calibri" w:hAnsi="Calibri"/>
          <w:color w:val="1A2430"/>
          <w:sz w:val="21"/>
        </w:rPr>
        <w:t>Now reset the password, from a device you trust</w:t>
      </w:r>
    </w:p>
    <w:p>
      <w:pPr>
        <w:spacing w:after="60"/>
        <w:ind w:left="360"/>
      </w:pPr>
      <w:r>
        <w:rPr>
          <w:rFonts w:ascii="Segoe UI Symbol" w:hAnsi="Segoe UI Symbol"/>
          <w:color w:val="4E5A66"/>
          <w:sz w:val="22"/>
        </w:rPr>
        <w:t xml:space="preserve">☐  </w:t>
      </w:r>
      <w:r>
        <w:rPr>
          <w:rFonts w:ascii="Calibri" w:hAnsi="Calibri"/>
          <w:color w:val="1A2430"/>
          <w:sz w:val="21"/>
        </w:rPr>
        <w:t>Revoke all active sessions and tokens. A password change alone leaves signed-in phones</w:t>
      </w:r>
    </w:p>
    <w:p>
      <w:r>
        <w:rPr>
          <w:rFonts w:ascii="Calibri" w:hAnsi="Calibri"/>
          <w:color w:val="1A2430"/>
          <w:sz w:val="21"/>
        </w:rPr>
        <w:t xml:space="preserve">      working.</w:t>
      </w:r>
    </w:p>
    <w:p>
      <w:pPr>
        <w:spacing w:after="60"/>
        <w:ind w:left="360"/>
      </w:pPr>
      <w:r>
        <w:rPr>
          <w:rFonts w:ascii="Segoe UI Symbol" w:hAnsi="Segoe UI Symbol"/>
          <w:color w:val="4E5A66"/>
          <w:sz w:val="22"/>
        </w:rPr>
        <w:t xml:space="preserve">☐  </w:t>
      </w:r>
      <w:r>
        <w:rPr>
          <w:rFonts w:ascii="Calibri" w:hAnsi="Calibri"/>
          <w:color w:val="1A2430"/>
          <w:sz w:val="21"/>
        </w:rPr>
        <w:t>Look for mail forwarding rules, inbox rules, and mailbox delegates you did not create.</w:t>
      </w:r>
    </w:p>
    <w:p>
      <w:r>
        <w:rPr>
          <w:rFonts w:ascii="Calibri" w:hAnsi="Calibri"/>
          <w:color w:val="1A2430"/>
          <w:sz w:val="21"/>
        </w:rPr>
        <w:t xml:space="preserve">      Forwarding rules are the single most common sign of a compromised mailbox.</w:t>
      </w:r>
    </w:p>
    <w:p>
      <w:pPr>
        <w:spacing w:after="60"/>
        <w:ind w:left="360"/>
      </w:pPr>
      <w:r>
        <w:rPr>
          <w:rFonts w:ascii="Segoe UI Symbol" w:hAnsi="Segoe UI Symbol"/>
          <w:color w:val="4E5A66"/>
          <w:sz w:val="22"/>
        </w:rPr>
        <w:t xml:space="preserve">☐  </w:t>
      </w:r>
      <w:r>
        <w:rPr>
          <w:rFonts w:ascii="Calibri" w:hAnsi="Calibri"/>
          <w:color w:val="1A2430"/>
          <w:sz w:val="21"/>
        </w:rPr>
        <w:t>Check whether any payment details were changed or any payment was requested</w:t>
      </w:r>
    </w:p>
    <w:p>
      <w:pPr>
        <w:spacing w:after="60"/>
        <w:ind w:left="360"/>
      </w:pPr>
      <w:r>
        <w:rPr>
          <w:rFonts w:ascii="Segoe UI Symbol" w:hAnsi="Segoe UI Symbol"/>
          <w:color w:val="4E5A66"/>
          <w:sz w:val="22"/>
        </w:rPr>
        <w:t xml:space="preserve">☐  </w:t>
      </w:r>
      <w:r>
        <w:rPr>
          <w:rFonts w:ascii="Calibri" w:hAnsi="Calibri"/>
          <w:color w:val="1A2430"/>
          <w:sz w:val="21"/>
        </w:rPr>
        <w:t>Export the sign-in and audit logs for the affected account now, before they age out of</w:t>
      </w:r>
    </w:p>
    <w:p>
      <w:r>
        <w:rPr>
          <w:rFonts w:ascii="Calibri" w:hAnsi="Calibri"/>
          <w:color w:val="1A2430"/>
          <w:sz w:val="21"/>
        </w:rPr>
        <w:t xml:space="preserve">      your retention window. You will want them later and they do not keep forever.</w:t>
      </w:r>
    </w:p>
    <w:p>
      <w:pPr>
        <w:spacing w:after="60"/>
        <w:ind w:left="360"/>
      </w:pPr>
      <w:r>
        <w:rPr>
          <w:rFonts w:ascii="Segoe UI Symbol" w:hAnsi="Segoe UI Symbol"/>
          <w:color w:val="4E5A66"/>
          <w:sz w:val="22"/>
        </w:rPr>
        <w:t xml:space="preserve">☐  </w:t>
      </w:r>
      <w:r>
        <w:rPr>
          <w:rFonts w:ascii="Calibri" w:hAnsi="Calibri"/>
          <w:color w:val="1A2430"/>
          <w:sz w:val="21"/>
        </w:rPr>
        <w:t>Confirm your backups are intact and, critically, not reachable from the affected network</w:t>
      </w:r>
    </w:p>
    <w:p>
      <w:pPr>
        <w:spacing w:before="320" w:after="100"/>
        <w:pBdr>
          <w:bottom w:val="single" w:sz="4" w:space="4" w:color="E4E0D6"/>
        </w:pBdr>
      </w:pPr>
      <w:r>
        <w:rPr>
          <w:rFonts w:ascii="Georgia" w:hAnsi="Georgia"/>
          <w:b/>
          <w:color w:val="1E2A38"/>
          <w:sz w:val="30"/>
        </w:rPr>
        <w:t>Then</w:t>
      </w:r>
    </w:p>
    <w:p>
      <w:pPr>
        <w:spacing w:after="60"/>
        <w:ind w:left="360"/>
      </w:pPr>
      <w:r>
        <w:rPr>
          <w:rFonts w:ascii="Segoe UI Symbol" w:hAnsi="Segoe UI Symbol"/>
          <w:color w:val="4E5A66"/>
          <w:sz w:val="22"/>
        </w:rPr>
        <w:t xml:space="preserve">☐  </w:t>
      </w:r>
      <w:r>
        <w:rPr>
          <w:rFonts w:ascii="Calibri" w:hAnsi="Calibri"/>
          <w:color w:val="1A2430"/>
          <w:sz w:val="21"/>
        </w:rPr>
        <w:t>Contact your cyber insurer. Most policies require prompt notification, and many provide</w:t>
      </w:r>
    </w:p>
    <w:p>
      <w:r>
        <w:rPr>
          <w:rFonts w:ascii="Calibri" w:hAnsi="Calibri"/>
          <w:color w:val="1A2430"/>
          <w:sz w:val="21"/>
        </w:rPr>
        <w:t xml:space="preserve">      an incident response team as part of the cover.</w:t>
      </w:r>
    </w:p>
    <w:p>
      <w:pPr>
        <w:spacing w:after="60"/>
        <w:ind w:left="360"/>
      </w:pPr>
      <w:r>
        <w:rPr>
          <w:rFonts w:ascii="Segoe UI Symbol" w:hAnsi="Segoe UI Symbol"/>
          <w:color w:val="4E5A66"/>
          <w:sz w:val="22"/>
        </w:rPr>
        <w:t xml:space="preserve">☐  </w:t>
      </w:r>
      <w:r>
        <w:rPr>
          <w:rFonts w:ascii="Calibri" w:hAnsi="Calibri"/>
          <w:color w:val="1A2430"/>
          <w:sz w:val="21"/>
        </w:rPr>
        <w:t>Decide, with advice, whether personal information was involved. What you must do next</w:t>
      </w:r>
    </w:p>
    <w:p>
      <w:r>
        <w:rPr>
          <w:rFonts w:ascii="Calibri" w:hAnsi="Calibri"/>
          <w:color w:val="1A2430"/>
          <w:sz w:val="21"/>
        </w:rPr>
        <w:t xml:space="preserve">      depends on which law reaches you. Most BC businesses fall under BC's PIPA, which requires       reasonable security arrangements but does not require you to report a breach. The BC       Privacy Commissioner recommends reporting voluntarily and has asked government to make it       mandatory. PIPEDA is different. Where it applies, which is federally regulated businesses       and personal information crossing provincial or national borders, a breach creating a real       risk of significant harm must be reported to the Privacy Commissioner of Canada and to the       people affected.</w:t>
      </w:r>
    </w:p>
    <w:p>
      <w:pPr>
        <w:spacing w:after="60"/>
        <w:ind w:left="360"/>
      </w:pPr>
      <w:r>
        <w:rPr>
          <w:rFonts w:ascii="Segoe UI Symbol" w:hAnsi="Segoe UI Symbol"/>
          <w:color w:val="4E5A66"/>
          <w:sz w:val="22"/>
        </w:rPr>
        <w:t xml:space="preserve">☐  </w:t>
      </w:r>
      <w:r>
        <w:rPr>
          <w:rFonts w:ascii="Calibri" w:hAnsi="Calibri"/>
          <w:color w:val="1A2430"/>
          <w:sz w:val="21"/>
        </w:rPr>
        <w:t>Check what your professional body, your insurer, and your client contracts require. For a</w:t>
      </w:r>
    </w:p>
    <w:p>
      <w:r>
        <w:rPr>
          <w:rFonts w:ascii="Calibri" w:hAnsi="Calibri"/>
          <w:color w:val="1A2430"/>
          <w:sz w:val="21"/>
        </w:rPr>
        <w:t xml:space="preserve">      law firm or a clinic these usually ask for more than either statute, and they are the       obligations most often missed.</w:t>
      </w:r>
    </w:p>
    <w:p>
      <w:pPr>
        <w:spacing w:after="60"/>
        <w:ind w:left="360"/>
      </w:pPr>
      <w:r>
        <w:rPr>
          <w:rFonts w:ascii="Segoe UI Symbol" w:hAnsi="Segoe UI Symbol"/>
          <w:color w:val="4E5A66"/>
          <w:sz w:val="22"/>
        </w:rPr>
        <w:t xml:space="preserve">☐  </w:t>
      </w:r>
      <w:r>
        <w:rPr>
          <w:rFonts w:ascii="Calibri" w:hAnsi="Calibri"/>
          <w:color w:val="1A2430"/>
          <w:sz w:val="21"/>
        </w:rPr>
        <w:t>Keep a record of the breach either way. PIPEDA requires a two-year record where it applies.</w:t>
      </w:r>
    </w:p>
    <w:p>
      <w:r>
        <w:rPr>
          <w:rFonts w:ascii="Calibri" w:hAnsi="Calibri"/>
          <w:color w:val="1A2430"/>
          <w:sz w:val="21"/>
        </w:rPr>
        <w:t xml:space="preserve">      Even where nothing requires it, that record is the only way to reconstruct what happened       for your insurer.</w:t>
      </w:r>
    </w:p>
    <w:p>
      <w:pPr>
        <w:spacing w:before="80" w:after="200"/>
        <w:pBdr>
          <w:bottom w:val="single" w:sz="6" w:space="1" w:color="E4E0D6"/>
        </w:pBdr>
      </w:pPr>
    </w:p>
    <w:p>
      <w:pPr>
        <w:spacing w:before="320" w:after="100"/>
        <w:pBdr>
          <w:bottom w:val="single" w:sz="4" w:space="4" w:color="E4E0D6"/>
        </w:pBdr>
      </w:pPr>
      <w:r>
        <w:rPr>
          <w:rFonts w:ascii="Georgia" w:hAnsi="Georgia"/>
          <w:b/>
          <w:color w:val="1E2A38"/>
          <w:sz w:val="30"/>
        </w:rPr>
        <w:t>If it is ransomware</w:t>
      </w:r>
    </w:p>
    <w:p>
      <w:pPr>
        <w:spacing w:after="60"/>
        <w:ind w:left="360"/>
      </w:pPr>
      <w:r>
        <w:rPr>
          <w:rFonts w:ascii="Segoe UI Symbol" w:hAnsi="Segoe UI Symbol"/>
          <w:color w:val="4E5A66"/>
          <w:sz w:val="22"/>
        </w:rPr>
        <w:t xml:space="preserve">☐  </w:t>
      </w:r>
      <w:r>
        <w:rPr>
          <w:rFonts w:ascii="Calibri" w:hAnsi="Calibri"/>
          <w:color w:val="1A2430"/>
          <w:sz w:val="21"/>
        </w:rPr>
        <w:t>Disconnect everything affected from the network immediately</w:t>
      </w:r>
    </w:p>
    <w:p>
      <w:pPr>
        <w:spacing w:after="60"/>
        <w:ind w:left="360"/>
      </w:pPr>
      <w:r>
        <w:rPr>
          <w:rFonts w:ascii="Segoe UI Symbol" w:hAnsi="Segoe UI Symbol"/>
          <w:color w:val="4E5A66"/>
          <w:sz w:val="22"/>
        </w:rPr>
        <w:t xml:space="preserve">☐  </w:t>
      </w:r>
      <w:r>
        <w:rPr>
          <w:rFonts w:ascii="Calibri" w:hAnsi="Calibri"/>
          <w:color w:val="1A2430"/>
          <w:sz w:val="21"/>
        </w:rPr>
        <w:t>Do not pay anything before taking advice. Paying can be unlawful in some cases, because</w:t>
      </w:r>
    </w:p>
    <w:p>
      <w:r>
        <w:rPr>
          <w:rFonts w:ascii="Calibri" w:hAnsi="Calibri"/>
          <w:color w:val="1A2430"/>
          <w:sz w:val="21"/>
        </w:rPr>
        <w:t xml:space="preserve">      the recipient may be under sanctions. Your insurer's incident team runs that check. Paying       also does not reliably get you back faster, and it does not undo the fact that data left.</w:t>
      </w:r>
    </w:p>
    <w:p>
      <w:pPr>
        <w:spacing w:after="60"/>
        <w:ind w:left="360"/>
      </w:pPr>
      <w:r>
        <w:rPr>
          <w:rFonts w:ascii="Segoe UI Symbol" w:hAnsi="Segoe UI Symbol"/>
          <w:color w:val="4E5A66"/>
          <w:sz w:val="22"/>
        </w:rPr>
        <w:t xml:space="preserve">☐  </w:t>
      </w:r>
      <w:r>
        <w:rPr>
          <w:rFonts w:ascii="Calibri" w:hAnsi="Calibri"/>
          <w:color w:val="1A2430"/>
          <w:sz w:val="21"/>
        </w:rPr>
        <w:t>Call your insurer before making decisions. They usually have a panel who do this daily.</w:t>
      </w:r>
    </w:p>
    <w:p>
      <w:pPr>
        <w:spacing w:before="320" w:after="100"/>
        <w:pBdr>
          <w:bottom w:val="single" w:sz="4" w:space="4" w:color="E4E0D6"/>
        </w:pBdr>
      </w:pPr>
      <w:r>
        <w:rPr>
          <w:rFonts w:ascii="Georgia" w:hAnsi="Georgia"/>
          <w:b/>
          <w:color w:val="1E2A38"/>
          <w:sz w:val="30"/>
        </w:rPr>
        <w:t>If it is a fraudulent payment</w:t>
      </w:r>
    </w:p>
    <w:p>
      <w:pPr>
        <w:spacing w:after="60"/>
        <w:ind w:left="360"/>
      </w:pPr>
      <w:r>
        <w:rPr>
          <w:rFonts w:ascii="Segoe UI Symbol" w:hAnsi="Segoe UI Symbol"/>
          <w:color w:val="4E5A66"/>
          <w:sz w:val="22"/>
        </w:rPr>
        <w:t xml:space="preserve">☐  </w:t>
      </w:r>
      <w:r>
        <w:rPr>
          <w:rFonts w:ascii="Calibri" w:hAnsi="Calibri"/>
          <w:color w:val="1A2430"/>
          <w:sz w:val="21"/>
        </w:rPr>
        <w:t>Call your bank immediately. Speed is the only thing that matters.</w:t>
      </w:r>
    </w:p>
    <w:p>
      <w:pPr>
        <w:spacing w:after="60"/>
        <w:ind w:left="360"/>
      </w:pPr>
      <w:r>
        <w:rPr>
          <w:rFonts w:ascii="Segoe UI Symbol" w:hAnsi="Segoe UI Symbol"/>
          <w:color w:val="4E5A66"/>
          <w:sz w:val="22"/>
        </w:rPr>
        <w:t xml:space="preserve">☐  </w:t>
      </w:r>
      <w:r>
        <w:rPr>
          <w:rFonts w:ascii="Calibri" w:hAnsi="Calibri"/>
          <w:color w:val="1A2430"/>
          <w:sz w:val="21"/>
        </w:rPr>
        <w:t>Report it to the Canadian Anti-Fraud Centre</w:t>
      </w:r>
    </w:p>
    <w:p>
      <w:pPr>
        <w:spacing w:after="60"/>
        <w:ind w:left="360"/>
      </w:pPr>
      <w:r>
        <w:rPr>
          <w:rFonts w:ascii="Segoe UI Symbol" w:hAnsi="Segoe UI Symbol"/>
          <w:color w:val="4E5A66"/>
          <w:sz w:val="22"/>
        </w:rPr>
        <w:t xml:space="preserve">☐  </w:t>
      </w:r>
      <w:r>
        <w:rPr>
          <w:rFonts w:ascii="Calibri" w:hAnsi="Calibri"/>
          <w:color w:val="1A2430"/>
          <w:sz w:val="21"/>
        </w:rPr>
        <w:t>Preserve the emails. Do not delete or forward them around.</w:t>
      </w:r>
    </w:p>
    <w:p>
      <w:pPr>
        <w:spacing w:before="80" w:after="200"/>
        <w:pBdr>
          <w:bottom w:val="single" w:sz="6" w:space="1" w:color="E4E0D6"/>
        </w:pBdr>
      </w:pPr>
    </w:p>
    <w:p>
      <w:pPr>
        <w:spacing w:before="320" w:after="100"/>
        <w:pBdr>
          <w:bottom w:val="single" w:sz="4" w:space="4" w:color="E4E0D6"/>
        </w:pBdr>
      </w:pPr>
      <w:r>
        <w:rPr>
          <w:rFonts w:ascii="Georgia" w:hAnsi="Georgia"/>
          <w:b/>
          <w:color w:val="1E2A38"/>
          <w:sz w:val="30"/>
        </w:rPr>
        <w:t>Numbers to fill in now, while it is calm</w:t>
      </w:r>
    </w:p>
    <w:tbl>
      <w:tblPr>
        <w:tblW w:type="auto" w:w="0"/>
        <w:jc w:val="left"/>
        <w:tblLook w:firstColumn="1" w:firstRow="1" w:lastColumn="0" w:lastRow="0" w:noHBand="0" w:noVBand="1" w:val="04A0"/>
        <w:tblBorders>
          <w:top w:val="single" w:sz="4" w:space="0" w:color="E4E0D6"/>
          <w:left w:val="single" w:sz="4" w:space="0" w:color="E4E0D6"/>
          <w:bottom w:val="single" w:sz="4" w:space="0" w:color="E4E0D6"/>
          <w:right w:val="single" w:sz="4" w:space="0" w:color="E4E0D6"/>
          <w:insideH w:val="single" w:sz="4" w:space="0" w:color="E4E0D6"/>
          <w:insideV w:val="single" w:sz="4" w:space="0" w:color="E4E0D6"/>
        </w:tblBorders>
      </w:tblPr>
      <w:tblGrid>
        <w:gridCol w:w="4752"/>
        <w:gridCol w:w="4752"/>
      </w:tblGrid>
      <w:tr>
        <w:tc>
          <w:tcPr>
            <w:tcW w:type="dxa" w:w="4752"/>
            <w:shd w:val="clear" w:color="auto" w:fill="1E2A38"/>
          </w:tcPr>
          <w:p>
            <w:pPr>
              <w:spacing w:before="80" w:after="80"/>
            </w:pPr>
            <w:r>
              <w:rPr>
                <w:b/>
                <w:color w:val="F7F2E8"/>
              </w:rPr>
            </w:r>
            <w:r>
              <w:rPr>
                <w:rFonts w:ascii="Calibri" w:hAnsi="Calibri"/>
                <w:b/>
                <w:color w:val="F7F2E8"/>
                <w:sz w:val="19"/>
              </w:rPr>
              <w:t>Who</w:t>
            </w:r>
          </w:p>
        </w:tc>
        <w:tc>
          <w:tcPr>
            <w:tcW w:type="dxa" w:w="4752"/>
            <w:shd w:val="clear" w:color="auto" w:fill="1E2A38"/>
          </w:tcPr>
          <w:p>
            <w:pPr>
              <w:spacing w:before="80" w:after="80"/>
            </w:pPr>
            <w:r>
              <w:rPr>
                <w:b/>
                <w:color w:val="F7F2E8"/>
              </w:rPr>
            </w:r>
            <w:r>
              <w:rPr>
                <w:rFonts w:ascii="Calibri" w:hAnsi="Calibri"/>
                <w:b/>
                <w:color w:val="F7F2E8"/>
                <w:sz w:val="19"/>
              </w:rPr>
              <w:t>Number</w:t>
            </w:r>
          </w:p>
        </w:tc>
      </w:tr>
      <w:tr>
        <w:tc>
          <w:tcPr>
            <w:tcW w:type="dxa" w:w="4752"/>
          </w:tcPr>
          <w:p>
            <w:pPr>
              <w:spacing w:before="60" w:after="60"/>
            </w:pPr>
            <w:r/>
            <w:r>
              <w:rPr>
                <w:rFonts w:ascii="Calibri" w:hAnsi="Calibri"/>
                <w:color w:val="1A2430"/>
                <w:sz w:val="19"/>
              </w:rPr>
              <w:t>IT provider</w:t>
            </w:r>
          </w:p>
        </w:tc>
        <w:tc>
          <w:tcPr>
            <w:tcW w:type="dxa" w:w="4752"/>
          </w:tcPr>
          <w:p>
            <w:pPr>
              <w:spacing w:before="60" w:after="60"/>
            </w:pPr>
            <w:r/>
          </w:p>
        </w:tc>
      </w:tr>
      <w:tr>
        <w:tc>
          <w:tcPr>
            <w:tcW w:type="dxa" w:w="4752"/>
            <w:shd w:val="clear" w:color="auto" w:fill="F6F5F1"/>
          </w:tcPr>
          <w:p>
            <w:pPr>
              <w:spacing w:before="60" w:after="60"/>
            </w:pPr>
            <w:r/>
            <w:r>
              <w:rPr>
                <w:rFonts w:ascii="Calibri" w:hAnsi="Calibri"/>
                <w:color w:val="1A2430"/>
                <w:sz w:val="19"/>
              </w:rPr>
              <w:t>Cyber insurer / policy number</w:t>
            </w:r>
          </w:p>
        </w:tc>
        <w:tc>
          <w:tcPr>
            <w:tcW w:type="dxa" w:w="4752"/>
            <w:shd w:val="clear" w:color="auto" w:fill="F6F5F1"/>
          </w:tcPr>
          <w:p>
            <w:pPr>
              <w:spacing w:before="60" w:after="60"/>
            </w:pPr>
            <w:r/>
          </w:p>
        </w:tc>
      </w:tr>
      <w:tr>
        <w:tc>
          <w:tcPr>
            <w:tcW w:type="dxa" w:w="4752"/>
          </w:tcPr>
          <w:p>
            <w:pPr>
              <w:spacing w:before="60" w:after="60"/>
            </w:pPr>
            <w:r/>
            <w:r>
              <w:rPr>
                <w:rFonts w:ascii="Calibri" w:hAnsi="Calibri"/>
                <w:color w:val="1A2430"/>
                <w:sz w:val="19"/>
              </w:rPr>
              <w:t>Bank fraud line</w:t>
            </w:r>
          </w:p>
        </w:tc>
        <w:tc>
          <w:tcPr>
            <w:tcW w:type="dxa" w:w="4752"/>
          </w:tcPr>
          <w:p>
            <w:pPr>
              <w:spacing w:before="60" w:after="60"/>
            </w:pPr>
            <w:r/>
          </w:p>
        </w:tc>
      </w:tr>
      <w:tr>
        <w:tc>
          <w:tcPr>
            <w:tcW w:type="dxa" w:w="4752"/>
            <w:shd w:val="clear" w:color="auto" w:fill="F6F5F1"/>
          </w:tcPr>
          <w:p>
            <w:pPr>
              <w:spacing w:before="60" w:after="60"/>
            </w:pPr>
            <w:r/>
            <w:r>
              <w:rPr>
                <w:rFonts w:ascii="Calibri" w:hAnsi="Calibri"/>
                <w:color w:val="1A2430"/>
                <w:sz w:val="19"/>
              </w:rPr>
              <w:t>Owner or decision maker</w:t>
            </w:r>
          </w:p>
        </w:tc>
        <w:tc>
          <w:tcPr>
            <w:tcW w:type="dxa" w:w="4752"/>
            <w:shd w:val="clear" w:color="auto" w:fill="F6F5F1"/>
          </w:tcPr>
          <w:p>
            <w:pPr>
              <w:spacing w:before="60" w:after="60"/>
            </w:pPr>
            <w:r/>
          </w:p>
        </w:tc>
      </w:tr>
    </w:tbl>
    <w:p>
      <w:pPr>
        <w:spacing w:after="80"/>
      </w:pPr>
    </w:p>
    <w:p>
      <w:pPr>
        <w:spacing w:before="80" w:after="200"/>
        <w:pBdr>
          <w:bottom w:val="single" w:sz="6" w:space="1" w:color="E4E0D6"/>
        </w:pBdr>
      </w:pPr>
    </w:p>
    <w:p>
      <w:r>
        <w:rPr>
          <w:rFonts w:ascii="Calibri" w:hAnsi="Calibri"/>
          <w:b/>
          <w:color w:val="1A2430"/>
          <w:sz w:val="21"/>
        </w:rPr>
        <w:t>About this template.</w:t>
      </w:r>
      <w:r>
        <w:rPr>
          <w:rFonts w:ascii="Calibri" w:hAnsi="Calibri"/>
          <w:color w:val="1A2430"/>
          <w:sz w:val="21"/>
        </w:rPr>
        <w:t xml:space="preserve"> Free to use, edit, and share, including commercially. No credit needed and no permission required. It is a starting point built from common practice. It is not legal advice, not a compliance certification, and not a substitute for advice about your situation. Your obligations depend on your industry, your regulator, your insurer, and your contracts. If you are in a regulated field, have someone qualified review this before you rely on it.</w:t>
      </w:r>
    </w:p>
    <w:p>
      <w:r>
        <w:rPr>
          <w:rFonts w:ascii="Calibri" w:hAnsi="Calibri"/>
          <w:color w:val="1A2430"/>
          <w:sz w:val="21"/>
        </w:rPr>
        <w:t>Last reviewed: August 2026 · Latest version: brevitytech.ca/templates</w:t>
      </w:r>
    </w:p>
    <w:p>
      <w:r>
        <w:rPr>
          <w:rFonts w:ascii="Calibri" w:hAnsi="Calibri"/>
          <w:i/>
          <w:color w:val="1A2430"/>
          <w:sz w:val="21"/>
        </w:rPr>
        <w:t>Made by **Brevity.Tech**, managed IT and automation for small businesses in Metro Vancouver. If you would rather not find out how good your plan is during an actual incident, a free 30-minute check will tell you where you stand. brevitytech.ca · 778-321-2372</w:t>
      </w:r>
    </w:p>
    <w:sectPr w:rsidR="00FC693F" w:rsidRPr="0006063C" w:rsidSect="00034616">
      <w:headerReference w:type="default" r:id="rId9"/>
      <w:footerReference w:type="default" r:id="rId10"/>
      <w:pgSz w:w="12240" w:h="15840"/>
      <w:pgMar w:top="1008" w:right="1368" w:bottom="1080" w:left="1368"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504" w:val="right"/>
      </w:tabs>
      <w:pBdr>
        <w:top w:val="single" w:sz="6" w:space="6" w:color="E4E0D6"/>
      </w:pBdr>
    </w:pPr>
    <w:r>
      <w:rPr>
        <w:rFonts w:ascii="Calibri" w:hAnsi="Calibri"/>
        <w:color w:val="4E5A66"/>
        <w:sz w:val="17"/>
      </w:rPr>
      <w:t>brevitytech.ca  ·  778-321-2372  ·  contact@brevitytech.ca</w:t>
    </w:r>
    <w:r>
      <w:tab/>
    </w:r>
    <w:r>
      <w:rPr>
        <w:rFonts w:ascii="Calibri" w:hAnsi="Calibri"/>
        <w:color w:val="4E5A66"/>
        <w:sz w:val="17"/>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504" w:val="right"/>
      </w:tabs>
      <w:pBdr>
        <w:bottom w:val="single" w:sz="6" w:space="6" w:color="E4E0D6"/>
      </w:pBdr>
    </w:pPr>
    <w:r>
      <w:drawing>
        <wp:inline xmlns:a="http://schemas.openxmlformats.org/drawingml/2006/main" xmlns:pic="http://schemas.openxmlformats.org/drawingml/2006/picture">
          <wp:extent cx="960120" cy="427584"/>
          <wp:docPr id="1" name="Picture 1"/>
          <wp:cNvGraphicFramePr>
            <a:graphicFrameLocks noChangeAspect="1"/>
          </wp:cNvGraphicFramePr>
          <a:graphic>
            <a:graphicData uri="http://schemas.openxmlformats.org/drawingml/2006/picture">
              <pic:pic>
                <pic:nvPicPr>
                  <pic:cNvPr id="0" name="brevity-wordmark-dark.png"/>
                  <pic:cNvPicPr/>
                </pic:nvPicPr>
                <pic:blipFill>
                  <a:blip r:embed="rId1"/>
                  <a:stretch>
                    <a:fillRect/>
                  </a:stretch>
                </pic:blipFill>
                <pic:spPr>
                  <a:xfrm>
                    <a:off x="0" y="0"/>
                    <a:ext cx="960120" cy="427584"/>
                  </a:xfrm>
                  <a:prstGeom prst="rect"/>
                </pic:spPr>
              </pic:pic>
            </a:graphicData>
          </a:graphic>
        </wp:inline>
      </w:drawing>
    </w:r>
    <w:r>
      <w:rPr>
        <w:rFonts w:ascii="Calibri" w:hAnsi="Calibri"/>
        <w:color w:val="4E5A66"/>
        <w:sz w:val="17"/>
      </w:rPr>
      <w:tab/>
      <w:t>We think we have been hacked: the first hour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Calibri" w:hAnsi="Calibri"/>
      <w:color w:val="1A243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