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/>
      </w:pPr>
      <w:r>
        <w:rPr>
          <w:rFonts w:ascii="Georgia" w:hAnsi="Georgia"/>
          <w:b/>
          <w:color w:val="1E2A38"/>
          <w:sz w:val="52"/>
        </w:rPr>
        <w:t>Manual Task Audit</w:t>
      </w:r>
    </w:p>
    <w:p>
      <w:pPr>
        <w:spacing w:before="0" w:after="280"/>
        <w:pBdr>
          <w:bottom w:val="single" w:sz="18" w:space="1" w:color="C98A1E"/>
        </w:pBdr>
      </w:pPr>
    </w:p>
    <w:p>
      <w:r>
        <w:rPr>
          <w:rFonts w:ascii="Calibri" w:hAnsi="Calibri"/>
          <w:color w:val="1A2430"/>
          <w:sz w:val="21"/>
        </w:rPr>
        <w:t>In most small businesses there is somewhere between half a day and a full day a week of work a computer could be doing. It survives because none of it is difficult, so nobody escalates it.</w:t>
      </w:r>
    </w:p>
    <w:p>
      <w:r>
        <w:rPr>
          <w:rFonts w:ascii="Calibri" w:hAnsi="Calibri"/>
          <w:color w:val="1A2430"/>
          <w:sz w:val="21"/>
        </w:rPr>
        <w:t>Do not take that estimate on trust. The point of this sheet is to measure your own.</w:t>
      </w:r>
    </w:p>
    <w:p>
      <w:r>
        <w:rPr>
          <w:rFonts w:ascii="Calibri" w:hAnsi="Calibri"/>
          <w:color w:val="1A2430"/>
          <w:sz w:val="21"/>
        </w:rPr>
        <w:t>This finds it. Do it across one normal week.</w:t>
      </w:r>
    </w:p>
    <w:p>
      <w:pPr>
        <w:spacing w:before="320" w:after="100"/>
        <w:pBdr>
          <w:bottom w:val="single" w:sz="4" w:space="4" w:color="E4E0D6"/>
        </w:pBdr>
      </w:pPr>
      <w:r>
        <w:rPr>
          <w:rFonts w:ascii="Georgia" w:hAnsi="Georgia"/>
          <w:b/>
          <w:color w:val="1E2A38"/>
          <w:sz w:val="30"/>
        </w:rPr>
        <w:t>How to run it</w:t>
      </w:r>
    </w:p>
    <w:p>
      <w:r>
        <w:rPr>
          <w:rFonts w:ascii="Calibri" w:hAnsi="Calibri"/>
          <w:color w:val="1A2430"/>
          <w:sz w:val="21"/>
        </w:rPr>
        <w:t>Ask everyone to note any task that is repetitive, follows the same steps every time, and involves moving information from one place to another. One line each, as it happens.</w:t>
      </w:r>
    </w:p>
    <w:p>
      <w:pPr>
        <w:spacing w:before="320" w:after="100"/>
        <w:pBdr>
          <w:bottom w:val="single" w:sz="4" w:space="4" w:color="E4E0D6"/>
        </w:pBdr>
      </w:pPr>
      <w:r>
        <w:rPr>
          <w:rFonts w:ascii="Georgia" w:hAnsi="Georgia"/>
          <w:b/>
          <w:color w:val="1E2A38"/>
          <w:sz w:val="30"/>
        </w:rPr>
        <w:t>The log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single" w:sz="4" w:space="0" w:color="E4E0D6"/>
          <w:left w:val="single" w:sz="4" w:space="0" w:color="E4E0D6"/>
          <w:bottom w:val="single" w:sz="4" w:space="0" w:color="E4E0D6"/>
          <w:right w:val="single" w:sz="4" w:space="0" w:color="E4E0D6"/>
          <w:insideH w:val="single" w:sz="4" w:space="0" w:color="E4E0D6"/>
          <w:insideV w:val="single" w:sz="4" w:space="0" w:color="E4E0D6"/>
        </w:tblBorders>
      </w:tblPr>
      <w:tblGrid>
        <w:gridCol w:w="1901"/>
        <w:gridCol w:w="1901"/>
        <w:gridCol w:w="1901"/>
        <w:gridCol w:w="1901"/>
        <w:gridCol w:w="1901"/>
      </w:tblGrid>
      <w:tr>
        <w:tc>
          <w:tcPr>
            <w:tcW w:type="dxa" w:w="1901"/>
            <w:shd w:val="clear" w:color="auto" w:fill="1E2A38"/>
          </w:tcPr>
          <w:p>
            <w:pPr>
              <w:spacing w:before="80" w:after="80"/>
            </w:pPr>
            <w:r>
              <w:rPr>
                <w:b/>
                <w:color w:val="F7F2E8"/>
              </w:rPr>
            </w:r>
            <w:r>
              <w:rPr>
                <w:rFonts w:ascii="Calibri" w:hAnsi="Calibri"/>
                <w:b/>
                <w:color w:val="F7F2E8"/>
                <w:sz w:val="19"/>
              </w:rPr>
              <w:t>Task</w:t>
            </w:r>
          </w:p>
        </w:tc>
        <w:tc>
          <w:tcPr>
            <w:tcW w:type="dxa" w:w="1901"/>
            <w:shd w:val="clear" w:color="auto" w:fill="1E2A38"/>
          </w:tcPr>
          <w:p>
            <w:pPr>
              <w:spacing w:before="80" w:after="80"/>
            </w:pPr>
            <w:r>
              <w:rPr>
                <w:b/>
                <w:color w:val="F7F2E8"/>
              </w:rPr>
            </w:r>
            <w:r>
              <w:rPr>
                <w:rFonts w:ascii="Calibri" w:hAnsi="Calibri"/>
                <w:b/>
                <w:color w:val="F7F2E8"/>
                <w:sz w:val="19"/>
              </w:rPr>
              <w:t>Who</w:t>
            </w:r>
          </w:p>
        </w:tc>
        <w:tc>
          <w:tcPr>
            <w:tcW w:type="dxa" w:w="1901"/>
            <w:shd w:val="clear" w:color="auto" w:fill="1E2A38"/>
          </w:tcPr>
          <w:p>
            <w:pPr>
              <w:spacing w:before="80" w:after="80"/>
            </w:pPr>
            <w:r>
              <w:rPr>
                <w:b/>
                <w:color w:val="F7F2E8"/>
              </w:rPr>
            </w:r>
            <w:r>
              <w:rPr>
                <w:rFonts w:ascii="Calibri" w:hAnsi="Calibri"/>
                <w:b/>
                <w:color w:val="F7F2E8"/>
                <w:sz w:val="19"/>
              </w:rPr>
              <w:t>How often</w:t>
            </w:r>
          </w:p>
        </w:tc>
        <w:tc>
          <w:tcPr>
            <w:tcW w:type="dxa" w:w="1901"/>
            <w:shd w:val="clear" w:color="auto" w:fill="1E2A38"/>
          </w:tcPr>
          <w:p>
            <w:pPr>
              <w:spacing w:before="80" w:after="80"/>
            </w:pPr>
            <w:r>
              <w:rPr>
                <w:b/>
                <w:color w:val="F7F2E8"/>
              </w:rPr>
            </w:r>
            <w:r>
              <w:rPr>
                <w:rFonts w:ascii="Calibri" w:hAnsi="Calibri"/>
                <w:b/>
                <w:color w:val="F7F2E8"/>
                <w:sz w:val="19"/>
              </w:rPr>
              <w:t>Minutes each time</w:t>
            </w:r>
          </w:p>
        </w:tc>
        <w:tc>
          <w:tcPr>
            <w:tcW w:type="dxa" w:w="1901"/>
            <w:shd w:val="clear" w:color="auto" w:fill="1E2A38"/>
          </w:tcPr>
          <w:p>
            <w:pPr>
              <w:spacing w:before="80" w:after="80"/>
            </w:pPr>
            <w:r>
              <w:rPr>
                <w:b/>
                <w:color w:val="F7F2E8"/>
              </w:rPr>
            </w:r>
            <w:r>
              <w:rPr>
                <w:rFonts w:ascii="Calibri" w:hAnsi="Calibri"/>
                <w:b/>
                <w:color w:val="F7F2E8"/>
                <w:sz w:val="19"/>
              </w:rPr>
              <w:t>Systems involved</w:t>
            </w:r>
          </w:p>
        </w:tc>
      </w:tr>
      <w:tr>
        <w:tc>
          <w:tcPr>
            <w:tcW w:type="dxa" w:w="1901"/>
          </w:tcPr>
          <w:p>
            <w:pPr>
              <w:spacing w:before="60" w:after="60"/>
            </w:pPr>
            <w:r/>
          </w:p>
        </w:tc>
        <w:tc>
          <w:tcPr>
            <w:tcW w:type="dxa" w:w="1901"/>
          </w:tcPr>
          <w:p>
            <w:pPr>
              <w:spacing w:before="60" w:after="60"/>
            </w:pPr>
            <w:r/>
          </w:p>
        </w:tc>
        <w:tc>
          <w:tcPr>
            <w:tcW w:type="dxa" w:w="1901"/>
          </w:tcPr>
          <w:p>
            <w:pPr>
              <w:spacing w:before="60" w:after="60"/>
            </w:pPr>
            <w:r/>
          </w:p>
        </w:tc>
        <w:tc>
          <w:tcPr>
            <w:tcW w:type="dxa" w:w="1901"/>
          </w:tcPr>
          <w:p>
            <w:pPr>
              <w:spacing w:before="60" w:after="60"/>
            </w:pPr>
            <w:r/>
          </w:p>
        </w:tc>
        <w:tc>
          <w:tcPr>
            <w:tcW w:type="dxa" w:w="1901"/>
          </w:tcPr>
          <w:p>
            <w:pPr>
              <w:spacing w:before="60" w:after="60"/>
            </w:pPr>
            <w:r/>
          </w:p>
        </w:tc>
      </w:tr>
      <w:tr>
        <w:tc>
          <w:tcPr>
            <w:tcW w:type="dxa" w:w="1901"/>
            <w:shd w:val="clear" w:color="auto" w:fill="F6F5F1"/>
          </w:tcPr>
          <w:p>
            <w:pPr>
              <w:spacing w:before="60" w:after="60"/>
            </w:pPr>
            <w:r/>
          </w:p>
        </w:tc>
        <w:tc>
          <w:tcPr>
            <w:tcW w:type="dxa" w:w="1901"/>
            <w:shd w:val="clear" w:color="auto" w:fill="F6F5F1"/>
          </w:tcPr>
          <w:p>
            <w:pPr>
              <w:spacing w:before="60" w:after="60"/>
            </w:pPr>
            <w:r/>
          </w:p>
        </w:tc>
        <w:tc>
          <w:tcPr>
            <w:tcW w:type="dxa" w:w="1901"/>
            <w:shd w:val="clear" w:color="auto" w:fill="F6F5F1"/>
          </w:tcPr>
          <w:p>
            <w:pPr>
              <w:spacing w:before="60" w:after="60"/>
            </w:pPr>
            <w:r/>
          </w:p>
        </w:tc>
        <w:tc>
          <w:tcPr>
            <w:tcW w:type="dxa" w:w="1901"/>
            <w:shd w:val="clear" w:color="auto" w:fill="F6F5F1"/>
          </w:tcPr>
          <w:p>
            <w:pPr>
              <w:spacing w:before="60" w:after="60"/>
            </w:pPr>
            <w:r/>
          </w:p>
        </w:tc>
        <w:tc>
          <w:tcPr>
            <w:tcW w:type="dxa" w:w="1901"/>
            <w:shd w:val="clear" w:color="auto" w:fill="F6F5F1"/>
          </w:tcPr>
          <w:p>
            <w:pPr>
              <w:spacing w:before="60" w:after="60"/>
            </w:pPr>
            <w:r/>
          </w:p>
        </w:tc>
      </w:tr>
      <w:tr>
        <w:tc>
          <w:tcPr>
            <w:tcW w:type="dxa" w:w="1901"/>
          </w:tcPr>
          <w:p>
            <w:pPr>
              <w:spacing w:before="60" w:after="60"/>
            </w:pPr>
            <w:r/>
          </w:p>
        </w:tc>
        <w:tc>
          <w:tcPr>
            <w:tcW w:type="dxa" w:w="1901"/>
          </w:tcPr>
          <w:p>
            <w:pPr>
              <w:spacing w:before="60" w:after="60"/>
            </w:pPr>
            <w:r/>
          </w:p>
        </w:tc>
        <w:tc>
          <w:tcPr>
            <w:tcW w:type="dxa" w:w="1901"/>
          </w:tcPr>
          <w:p>
            <w:pPr>
              <w:spacing w:before="60" w:after="60"/>
            </w:pPr>
            <w:r/>
          </w:p>
        </w:tc>
        <w:tc>
          <w:tcPr>
            <w:tcW w:type="dxa" w:w="1901"/>
          </w:tcPr>
          <w:p>
            <w:pPr>
              <w:spacing w:before="60" w:after="60"/>
            </w:pPr>
            <w:r/>
          </w:p>
        </w:tc>
        <w:tc>
          <w:tcPr>
            <w:tcW w:type="dxa" w:w="1901"/>
          </w:tcPr>
          <w:p>
            <w:pPr>
              <w:spacing w:before="60" w:after="60"/>
            </w:pPr>
            <w:r/>
          </w:p>
        </w:tc>
      </w:tr>
      <w:tr>
        <w:tc>
          <w:tcPr>
            <w:tcW w:type="dxa" w:w="1901"/>
            <w:shd w:val="clear" w:color="auto" w:fill="F6F5F1"/>
          </w:tcPr>
          <w:p>
            <w:pPr>
              <w:spacing w:before="60" w:after="60"/>
            </w:pPr>
            <w:r/>
          </w:p>
        </w:tc>
        <w:tc>
          <w:tcPr>
            <w:tcW w:type="dxa" w:w="1901"/>
            <w:shd w:val="clear" w:color="auto" w:fill="F6F5F1"/>
          </w:tcPr>
          <w:p>
            <w:pPr>
              <w:spacing w:before="60" w:after="60"/>
            </w:pPr>
            <w:r/>
          </w:p>
        </w:tc>
        <w:tc>
          <w:tcPr>
            <w:tcW w:type="dxa" w:w="1901"/>
            <w:shd w:val="clear" w:color="auto" w:fill="F6F5F1"/>
          </w:tcPr>
          <w:p>
            <w:pPr>
              <w:spacing w:before="60" w:after="60"/>
            </w:pPr>
            <w:r/>
          </w:p>
        </w:tc>
        <w:tc>
          <w:tcPr>
            <w:tcW w:type="dxa" w:w="1901"/>
            <w:shd w:val="clear" w:color="auto" w:fill="F6F5F1"/>
          </w:tcPr>
          <w:p>
            <w:pPr>
              <w:spacing w:before="60" w:after="60"/>
            </w:pPr>
            <w:r/>
          </w:p>
        </w:tc>
        <w:tc>
          <w:tcPr>
            <w:tcW w:type="dxa" w:w="1901"/>
            <w:shd w:val="clear" w:color="auto" w:fill="F6F5F1"/>
          </w:tcPr>
          <w:p>
            <w:pPr>
              <w:spacing w:before="60" w:after="60"/>
            </w:pPr>
            <w:r/>
          </w:p>
        </w:tc>
      </w:tr>
      <w:tr>
        <w:tc>
          <w:tcPr>
            <w:tcW w:type="dxa" w:w="1901"/>
          </w:tcPr>
          <w:p>
            <w:pPr>
              <w:spacing w:before="60" w:after="60"/>
            </w:pPr>
            <w:r/>
          </w:p>
        </w:tc>
        <w:tc>
          <w:tcPr>
            <w:tcW w:type="dxa" w:w="1901"/>
          </w:tcPr>
          <w:p>
            <w:pPr>
              <w:spacing w:before="60" w:after="60"/>
            </w:pPr>
            <w:r/>
          </w:p>
        </w:tc>
        <w:tc>
          <w:tcPr>
            <w:tcW w:type="dxa" w:w="1901"/>
          </w:tcPr>
          <w:p>
            <w:pPr>
              <w:spacing w:before="60" w:after="60"/>
            </w:pPr>
            <w:r/>
          </w:p>
        </w:tc>
        <w:tc>
          <w:tcPr>
            <w:tcW w:type="dxa" w:w="1901"/>
          </w:tcPr>
          <w:p>
            <w:pPr>
              <w:spacing w:before="60" w:after="60"/>
            </w:pPr>
            <w:r/>
          </w:p>
        </w:tc>
        <w:tc>
          <w:tcPr>
            <w:tcW w:type="dxa" w:w="1901"/>
          </w:tcPr>
          <w:p>
            <w:pPr>
              <w:spacing w:before="60" w:after="60"/>
            </w:pPr>
            <w:r/>
          </w:p>
        </w:tc>
      </w:tr>
      <w:tr>
        <w:tc>
          <w:tcPr>
            <w:tcW w:type="dxa" w:w="1901"/>
            <w:shd w:val="clear" w:color="auto" w:fill="F6F5F1"/>
          </w:tcPr>
          <w:p>
            <w:pPr>
              <w:spacing w:before="60" w:after="60"/>
            </w:pPr>
            <w:r/>
          </w:p>
        </w:tc>
        <w:tc>
          <w:tcPr>
            <w:tcW w:type="dxa" w:w="1901"/>
            <w:shd w:val="clear" w:color="auto" w:fill="F6F5F1"/>
          </w:tcPr>
          <w:p>
            <w:pPr>
              <w:spacing w:before="60" w:after="60"/>
            </w:pPr>
            <w:r/>
          </w:p>
        </w:tc>
        <w:tc>
          <w:tcPr>
            <w:tcW w:type="dxa" w:w="1901"/>
            <w:shd w:val="clear" w:color="auto" w:fill="F6F5F1"/>
          </w:tcPr>
          <w:p>
            <w:pPr>
              <w:spacing w:before="60" w:after="60"/>
            </w:pPr>
            <w:r/>
          </w:p>
        </w:tc>
        <w:tc>
          <w:tcPr>
            <w:tcW w:type="dxa" w:w="1901"/>
            <w:shd w:val="clear" w:color="auto" w:fill="F6F5F1"/>
          </w:tcPr>
          <w:p>
            <w:pPr>
              <w:spacing w:before="60" w:after="60"/>
            </w:pPr>
            <w:r/>
          </w:p>
        </w:tc>
        <w:tc>
          <w:tcPr>
            <w:tcW w:type="dxa" w:w="1901"/>
            <w:shd w:val="clear" w:color="auto" w:fill="F6F5F1"/>
          </w:tcPr>
          <w:p>
            <w:pPr>
              <w:spacing w:before="60" w:after="60"/>
            </w:pPr>
            <w:r/>
          </w:p>
        </w:tc>
      </w:tr>
      <w:tr>
        <w:tc>
          <w:tcPr>
            <w:tcW w:type="dxa" w:w="1901"/>
          </w:tcPr>
          <w:p>
            <w:pPr>
              <w:spacing w:before="60" w:after="60"/>
            </w:pPr>
            <w:r/>
          </w:p>
        </w:tc>
        <w:tc>
          <w:tcPr>
            <w:tcW w:type="dxa" w:w="1901"/>
          </w:tcPr>
          <w:p>
            <w:pPr>
              <w:spacing w:before="60" w:after="60"/>
            </w:pPr>
            <w:r/>
          </w:p>
        </w:tc>
        <w:tc>
          <w:tcPr>
            <w:tcW w:type="dxa" w:w="1901"/>
          </w:tcPr>
          <w:p>
            <w:pPr>
              <w:spacing w:before="60" w:after="60"/>
            </w:pPr>
            <w:r/>
          </w:p>
        </w:tc>
        <w:tc>
          <w:tcPr>
            <w:tcW w:type="dxa" w:w="1901"/>
          </w:tcPr>
          <w:p>
            <w:pPr>
              <w:spacing w:before="60" w:after="60"/>
            </w:pPr>
            <w:r/>
          </w:p>
        </w:tc>
        <w:tc>
          <w:tcPr>
            <w:tcW w:type="dxa" w:w="1901"/>
          </w:tcPr>
          <w:p>
            <w:pPr>
              <w:spacing w:before="60" w:after="60"/>
            </w:pPr>
            <w:r/>
          </w:p>
        </w:tc>
      </w:tr>
      <w:tr>
        <w:tc>
          <w:tcPr>
            <w:tcW w:type="dxa" w:w="1901"/>
            <w:shd w:val="clear" w:color="auto" w:fill="F6F5F1"/>
          </w:tcPr>
          <w:p>
            <w:pPr>
              <w:spacing w:before="60" w:after="60"/>
            </w:pPr>
            <w:r/>
          </w:p>
        </w:tc>
        <w:tc>
          <w:tcPr>
            <w:tcW w:type="dxa" w:w="1901"/>
            <w:shd w:val="clear" w:color="auto" w:fill="F6F5F1"/>
          </w:tcPr>
          <w:p>
            <w:pPr>
              <w:spacing w:before="60" w:after="60"/>
            </w:pPr>
            <w:r/>
          </w:p>
        </w:tc>
        <w:tc>
          <w:tcPr>
            <w:tcW w:type="dxa" w:w="1901"/>
            <w:shd w:val="clear" w:color="auto" w:fill="F6F5F1"/>
          </w:tcPr>
          <w:p>
            <w:pPr>
              <w:spacing w:before="60" w:after="60"/>
            </w:pPr>
            <w:r/>
          </w:p>
        </w:tc>
        <w:tc>
          <w:tcPr>
            <w:tcW w:type="dxa" w:w="1901"/>
            <w:shd w:val="clear" w:color="auto" w:fill="F6F5F1"/>
          </w:tcPr>
          <w:p>
            <w:pPr>
              <w:spacing w:before="60" w:after="60"/>
            </w:pPr>
            <w:r/>
          </w:p>
        </w:tc>
        <w:tc>
          <w:tcPr>
            <w:tcW w:type="dxa" w:w="1901"/>
            <w:shd w:val="clear" w:color="auto" w:fill="F6F5F1"/>
          </w:tcPr>
          <w:p>
            <w:pPr>
              <w:spacing w:before="60" w:after="60"/>
            </w:pPr>
            <w:r/>
          </w:p>
        </w:tc>
      </w:tr>
    </w:tbl>
    <w:p>
      <w:pPr>
        <w:spacing w:after="80"/>
      </w:pPr>
    </w:p>
    <w:p>
      <w:pPr>
        <w:spacing w:before="320" w:after="100"/>
        <w:pBdr>
          <w:bottom w:val="single" w:sz="4" w:space="4" w:color="E4E0D6"/>
        </w:pBdr>
      </w:pPr>
      <w:r>
        <w:rPr>
          <w:rFonts w:ascii="Georgia" w:hAnsi="Georgia"/>
          <w:b/>
          <w:color w:val="1E2A38"/>
          <w:sz w:val="30"/>
        </w:rPr>
        <w:t>The arithmetic</w:t>
      </w:r>
    </w:p>
    <w:p>
      <w:r>
        <w:rPr>
          <w:rFonts w:ascii="Calibri" w:hAnsi="Calibri"/>
          <w:color w:val="1A2430"/>
          <w:sz w:val="21"/>
        </w:rPr>
        <w:t>Minutes each time, times how often, times fifty weeks. Divide by sixty for hours a year.</w:t>
      </w:r>
    </w:p>
    <w:p>
      <w:r>
        <w:rPr>
          <w:rFonts w:ascii="Calibri" w:hAnsi="Calibri"/>
          <w:color w:val="1A2430"/>
          <w:sz w:val="21"/>
        </w:rPr>
        <w:t xml:space="preserve">Total hours a year across all tasks: </w:t>
      </w:r>
      <w:r>
        <w:rPr>
          <w:rFonts w:ascii="Calibri" w:hAnsi="Calibri"/>
          <w:b/>
          <w:color w:val="1A2430"/>
          <w:sz w:val="21"/>
        </w:rPr>
        <w:t>_</w:t>
      </w:r>
      <w:r>
        <w:rPr>
          <w:rFonts w:ascii="Calibri" w:hAnsi="Calibri"/>
          <w:b/>
          <w:color w:val="1A2430"/>
          <w:sz w:val="21"/>
        </w:rPr>
      </w:r>
    </w:p>
    <w:p>
      <w:r>
        <w:rPr>
          <w:rFonts w:ascii="Calibri" w:hAnsi="Calibri"/>
          <w:color w:val="1A2430"/>
          <w:sz w:val="21"/>
        </w:rPr>
        <w:t xml:space="preserve">At your loaded hourly cost, that is: </w:t>
      </w:r>
      <w:r>
        <w:rPr>
          <w:rFonts w:ascii="Calibri" w:hAnsi="Calibri"/>
          <w:b/>
          <w:color w:val="1A2430"/>
          <w:sz w:val="21"/>
        </w:rPr>
        <w:t>_</w:t>
      </w:r>
      <w:r>
        <w:rPr>
          <w:rFonts w:ascii="Calibri" w:hAnsi="Calibri"/>
          <w:b/>
          <w:color w:val="1A2430"/>
          <w:sz w:val="21"/>
        </w:rPr>
      </w:r>
    </w:p>
    <w:p>
      <w:r>
        <w:rPr>
          <w:rFonts w:ascii="Calibri" w:hAnsi="Calibri"/>
          <w:color w:val="1A2430"/>
          <w:sz w:val="21"/>
        </w:rPr>
        <w:t>Loaded cost means wage plus employer costs and overhead, usually about 1.3 to 1.4 times the hourly wage.</w:t>
      </w:r>
    </w:p>
    <w:p>
      <w:pPr>
        <w:spacing w:before="320" w:after="100"/>
        <w:pBdr>
          <w:bottom w:val="single" w:sz="4" w:space="4" w:color="E4E0D6"/>
        </w:pBdr>
      </w:pPr>
      <w:r>
        <w:rPr>
          <w:rFonts w:ascii="Georgia" w:hAnsi="Georgia"/>
          <w:b/>
          <w:color w:val="1E2A38"/>
          <w:sz w:val="30"/>
        </w:rPr>
        <w:t>What usually shows up</w:t>
      </w:r>
    </w:p>
    <w:p>
      <w:r>
        <w:rPr>
          <w:rFonts w:ascii="Calibri" w:hAnsi="Calibri"/>
          <w:color w:val="1A2430"/>
          <w:sz w:val="21"/>
        </w:rPr>
        <w:t>Quotes retyped into invoices. Timesheets copied into a spreadsheet. A monthly report rebuilt by hand because the numbers live in four places. Chasing the same approvals by email. Re-entering client details into a second system. Copying data between an ordering system and accounting.</w:t>
      </w:r>
    </w:p>
    <w:p>
      <w:pPr>
        <w:spacing w:before="320" w:after="100"/>
        <w:pBdr>
          <w:bottom w:val="single" w:sz="4" w:space="4" w:color="E4E0D6"/>
        </w:pBdr>
      </w:pPr>
      <w:r>
        <w:rPr>
          <w:rFonts w:ascii="Georgia" w:hAnsi="Georgia"/>
          <w:b/>
          <w:color w:val="1E2A38"/>
          <w:sz w:val="30"/>
        </w:rPr>
        <w:t>Sorting the list</w:t>
      </w:r>
    </w:p>
    <w:p>
      <w:r>
        <w:rPr>
          <w:rFonts w:ascii="Calibri" w:hAnsi="Calibri"/>
          <w:color w:val="1A2430"/>
          <w:sz w:val="21"/>
        </w:rPr>
        <w:t>Rank by annual hours, then ask two questions of the top three.</w:t>
      </w:r>
    </w:p>
    <w:p>
      <w:r>
        <w:rPr>
          <w:rFonts w:ascii="Calibri" w:hAnsi="Calibri"/>
          <w:b/>
          <w:color w:val="1A2430"/>
          <w:sz w:val="21"/>
        </w:rPr>
        <w:t>Does this task need to exist at all?</w:t>
      </w:r>
      <w:r>
        <w:rPr>
          <w:rFonts w:ascii="Calibri" w:hAnsi="Calibri"/>
          <w:color w:val="1A2430"/>
          <w:sz w:val="21"/>
        </w:rPr>
        <w:t xml:space="preserve"> Sometimes the honest answer is no, and deleting it beats automating it.</w:t>
      </w:r>
    </w:p>
    <w:p>
      <w:r>
        <w:rPr>
          <w:rFonts w:ascii="Calibri" w:hAnsi="Calibri"/>
          <w:b/>
          <w:color w:val="1A2430"/>
          <w:sz w:val="21"/>
        </w:rPr>
        <w:t>Is this the same information being typed twice?</w:t>
      </w:r>
      <w:r>
        <w:rPr>
          <w:rFonts w:ascii="Calibri" w:hAnsi="Calibri"/>
          <w:color w:val="1A2430"/>
          <w:sz w:val="21"/>
        </w:rPr>
        <w:t xml:space="preserve"> If so, the two systems can usually talk to each other, and that is normally a build measured in hours rather than a project.</w:t>
      </w:r>
    </w:p>
    <w:p>
      <w:pPr>
        <w:spacing w:before="320" w:after="100"/>
        <w:pBdr>
          <w:bottom w:val="single" w:sz="4" w:space="4" w:color="E4E0D6"/>
        </w:pBdr>
      </w:pPr>
      <w:r>
        <w:rPr>
          <w:rFonts w:ascii="Georgia" w:hAnsi="Georgia"/>
          <w:b/>
          <w:color w:val="1E2A38"/>
          <w:sz w:val="30"/>
        </w:rPr>
        <w:t>The one to start with</w:t>
      </w:r>
    </w:p>
    <w:p>
      <w:r>
        <w:rPr>
          <w:rFonts w:ascii="Calibri" w:hAnsi="Calibri"/>
          <w:color w:val="1A2430"/>
          <w:sz w:val="21"/>
        </w:rPr>
        <w:t>Not the most annoying. The one with the highest annual hours that nobody has ever questioned.</w:t>
      </w:r>
    </w:p>
    <w:p>
      <w:pPr>
        <w:spacing w:before="80" w:after="200"/>
        <w:pBdr>
          <w:bottom w:val="single" w:sz="6" w:space="1" w:color="E4E0D6"/>
        </w:pBdr>
      </w:pPr>
    </w:p>
    <w:p>
      <w:r>
        <w:rPr>
          <w:rFonts w:ascii="Calibri" w:hAnsi="Calibri"/>
          <w:i/>
          <w:color w:val="1A2430"/>
          <w:sz w:val="21"/>
        </w:rPr>
        <w:t>Version 1.0, August 2026. Figures in Canadian dollars unless stated. Checked at time of writing; verify anything time-sensitive before relying on it.</w:t>
      </w:r>
    </w:p>
    <w:p>
      <w:r>
        <w:rPr>
          <w:rFonts w:ascii="Calibri" w:hAnsi="Calibri"/>
          <w:i/>
          <w:color w:val="1A2430"/>
          <w:sz w:val="21"/>
        </w:rPr>
        <w:t>Free to use and share. From Brevity.Tech, managed IT and automation for small businesses across Metro Vancouver. brevitytech.ca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368" w:bottom="1080" w:left="1368" w:header="576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504" w:val="right"/>
      </w:tabs>
      <w:pBdr>
        <w:top w:val="single" w:sz="6" w:space="6" w:color="E4E0D6"/>
      </w:pBdr>
    </w:pPr>
    <w:r>
      <w:rPr>
        <w:rFonts w:ascii="Calibri" w:hAnsi="Calibri"/>
        <w:color w:val="4E5A66"/>
        <w:sz w:val="17"/>
      </w:rPr>
      <w:t>brevitytech.ca  ·  778-321-2372  ·  contact@brevitytech.ca</w:t>
    </w:r>
    <w:r>
      <w:tab/>
    </w:r>
    <w:r>
      <w:rPr>
        <w:rFonts w:ascii="Calibri" w:hAnsi="Calibri"/>
        <w:color w:val="4E5A66"/>
        <w:sz w:val="17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504" w:val="right"/>
      </w:tabs>
      <w:pBdr>
        <w:bottom w:val="single" w:sz="6" w:space="6" w:color="E4E0D6"/>
      </w:pBdr>
    </w:pPr>
    <w:r>
      <w:drawing>
        <wp:inline xmlns:a="http://schemas.openxmlformats.org/drawingml/2006/main" xmlns:pic="http://schemas.openxmlformats.org/drawingml/2006/picture">
          <wp:extent cx="960120" cy="427584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revity-wordmark-dar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120" cy="427584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libri" w:hAnsi="Calibri"/>
        <w:color w:val="4E5A66"/>
        <w:sz w:val="17"/>
      </w:rPr>
      <w:tab/>
      <w:t>Manual Task Audit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Calibri" w:hAnsi="Calibri"/>
      <w:color w:val="1A243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