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Georgia" w:hAnsi="Georgia"/>
          <w:b/>
          <w:color w:val="1E2A38"/>
          <w:sz w:val="52"/>
        </w:rPr>
        <w:t>IT Provider Evaluation Scorecard</w:t>
      </w:r>
    </w:p>
    <w:p>
      <w:pPr>
        <w:spacing w:before="0" w:after="280"/>
        <w:pBdr>
          <w:bottom w:val="single" w:sz="18" w:space="1" w:color="C98A1E"/>
        </w:pBdr>
      </w:pPr>
    </w:p>
    <w:p>
      <w:r>
        <w:rPr>
          <w:rFonts w:ascii="Calibri" w:hAnsi="Calibri"/>
          <w:i/>
          <w:color w:val="1A2430"/>
          <w:sz w:val="21"/>
        </w:rPr>
        <w:t xml:space="preserve">One of three. Use this one </w:t>
      </w:r>
      <w:r>
        <w:rPr>
          <w:rFonts w:ascii="Calibri" w:hAnsi="Calibri"/>
          <w:i/>
          <w:color w:val="1A2430"/>
          <w:sz w:val="21"/>
        </w:rPr>
        <w:t>on the call</w:t>
      </w:r>
      <w:r>
        <w:rPr>
          <w:rFonts w:ascii="Calibri" w:hAnsi="Calibri"/>
          <w:i/>
          <w:color w:val="1A2430"/>
          <w:sz w:val="21"/>
        </w:rPr>
        <w:t>. Use the Managed IT Quote Comparison Guide afterwards to make the numbers comparable, and the SLA Review Checklist before you sign anything.</w:t>
      </w:r>
    </w:p>
    <w:p>
      <w:r>
        <w:rPr>
          <w:rFonts w:ascii="Calibri" w:hAnsi="Calibri"/>
          <w:color w:val="1A2430"/>
          <w:sz w:val="21"/>
        </w:rPr>
        <w:t>Use this on a prospective provider. Use it on your current one, which is the more interesting exercise.</w:t>
      </w:r>
    </w:p>
    <w:p>
      <w:r>
        <w:rPr>
          <w:rFonts w:ascii="Calibri" w:hAnsi="Calibri"/>
          <w:color w:val="1A2430"/>
          <w:sz w:val="21"/>
        </w:rPr>
        <w:t>Score each answer 0 to 3. Zero means they could not answer. Three means they answered from memory, specifically, without checking.</w:t>
      </w:r>
    </w:p>
    <w:p>
      <w:r>
        <w:rPr>
          <w:rFonts w:ascii="Calibri" w:hAnsi="Calibri"/>
          <w:b/>
          <w:color w:val="1A2430"/>
          <w:sz w:val="21"/>
        </w:rPr>
        <w:t>Provider: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 xml:space="preserve">  **Date:**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  <w:t>_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E4E0D6"/>
          <w:left w:val="single" w:sz="4" w:space="0" w:color="E4E0D6"/>
          <w:bottom w:val="single" w:sz="4" w:space="0" w:color="E4E0D6"/>
          <w:right w:val="single" w:sz="4" w:space="0" w:color="E4E0D6"/>
          <w:insideH w:val="single" w:sz="4" w:space="0" w:color="E4E0D6"/>
          <w:insideV w:val="single" w:sz="4" w:space="0" w:color="E4E0D6"/>
        </w:tblBorders>
      </w:tblPr>
      <w:tblGrid>
        <w:gridCol w:w="2376"/>
        <w:gridCol w:w="2376"/>
        <w:gridCol w:w="2376"/>
        <w:gridCol w:w="2376"/>
      </w:tblGrid>
      <w:tr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Question</w:t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Score</w:t>
            </w:r>
          </w:p>
        </w:tc>
        <w:tc>
          <w:tcPr>
            <w:tcW w:type="dxa" w:w="2376"/>
            <w:shd w:val="clear" w:color="auto" w:fill="1E2A38"/>
          </w:tcPr>
          <w:p>
            <w:pPr>
              <w:spacing w:before="80" w:after="80"/>
            </w:pPr>
            <w:r>
              <w:rPr>
                <w:b/>
                <w:color w:val="F7F2E8"/>
              </w:rPr>
            </w:r>
            <w:r>
              <w:rPr>
                <w:rFonts w:ascii="Calibri" w:hAnsi="Calibri"/>
                <w:b/>
                <w:color w:val="F7F2E8"/>
                <w:sz w:val="19"/>
              </w:rPr>
              <w:t>Notes</w:t>
            </w:r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1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When did you last restore one of our backups, and how long did it take?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2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Who has administrator access to our tenant right now?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3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is your response time, and what happens when you miss it?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4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is explicitly out of scope, and what does it cost?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5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How do you handle offboarding when staff leave?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6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is the all-in monthly cost for our exact headcount?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7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Is help desk time capped?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8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is the onboarding fee and what does it cover?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9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is the term, and what does leaving look like?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10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Who owns the documentation, and do we get it if we leave?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11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Will we deal with the same person?</w:t>
            </w:r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  <w:tc>
          <w:tcPr>
            <w:tcW w:type="dxa" w:w="2376"/>
          </w:tcPr>
          <w:p>
            <w:pPr>
              <w:spacing w:before="60" w:after="60"/>
            </w:pPr>
            <w:r/>
          </w:p>
        </w:tc>
      </w:tr>
      <w:tr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12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  <w:r>
              <w:rPr>
                <w:rFonts w:ascii="Calibri" w:hAnsi="Calibri"/>
                <w:color w:val="1A2430"/>
                <w:sz w:val="19"/>
              </w:rPr>
              <w:t>What do you not do?</w:t>
            </w:r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  <w:tc>
          <w:tcPr>
            <w:tcW w:type="dxa" w:w="2376"/>
            <w:shd w:val="clear" w:color="auto" w:fill="F6F5F1"/>
          </w:tcPr>
          <w:p>
            <w:pPr>
              <w:spacing w:before="60" w:after="60"/>
            </w:pPr>
            <w:r/>
          </w:p>
        </w:tc>
      </w:tr>
    </w:tbl>
    <w:p>
      <w:pPr>
        <w:spacing w:after="80"/>
      </w:pPr>
    </w:p>
    <w:p>
      <w:r>
        <w:rPr>
          <w:rFonts w:ascii="Calibri" w:hAnsi="Calibri"/>
          <w:b/>
          <w:color w:val="1A2430"/>
          <w:sz w:val="21"/>
        </w:rPr>
        <w:t>Total out of 36:</w:t>
      </w:r>
      <w:r>
        <w:rPr>
          <w:rFonts w:ascii="Calibri" w:hAnsi="Calibri"/>
          <w:color w:val="1A2430"/>
          <w:sz w:val="21"/>
        </w:rPr>
        <w:t xml:space="preserve"> </w:t>
      </w:r>
      <w:r>
        <w:rPr>
          <w:rFonts w:ascii="Calibri" w:hAnsi="Calibri"/>
          <w:b/>
          <w:color w:val="1A2430"/>
          <w:sz w:val="21"/>
        </w:rPr>
        <w:t>_</w:t>
      </w:r>
      <w:r>
        <w:rPr>
          <w:rFonts w:ascii="Calibri" w:hAnsi="Calibri"/>
          <w:b/>
          <w:color w:val="1A2430"/>
          <w:sz w:val="21"/>
        </w:rPr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How to read it</w:t>
      </w:r>
    </w:p>
    <w:p>
      <w:r>
        <w:rPr>
          <w:rFonts w:ascii="Calibri" w:hAnsi="Calibri"/>
          <w:color w:val="1A2430"/>
          <w:sz w:val="21"/>
        </w:rPr>
        <w:t>Under 18 suggests a provider who has not thought about how they deliver, rather than one who is bad at technology. Those are different problems and the first one is harder to fix.</w:t>
      </w:r>
    </w:p>
    <w:p>
      <w:r>
        <w:rPr>
          <w:rFonts w:ascii="Calibri" w:hAnsi="Calibri"/>
          <w:color w:val="1A2430"/>
          <w:sz w:val="21"/>
        </w:rPr>
        <w:t>Question 12 is the most revealing. Every provider has a boundary. One who names theirs has thought about it. One who says yes to everything has not, and you will find the edge yourself, later, at cost.</w:t>
      </w:r>
    </w:p>
    <w:p>
      <w:pPr>
        <w:spacing w:before="320" w:after="100"/>
        <w:pBdr>
          <w:bottom w:val="single" w:sz="4" w:space="4" w:color="E4E0D6"/>
        </w:pBdr>
      </w:pPr>
      <w:r>
        <w:rPr>
          <w:rFonts w:ascii="Georgia" w:hAnsi="Georgia"/>
          <w:b/>
          <w:color w:val="1E2A38"/>
          <w:sz w:val="30"/>
        </w:rPr>
        <w:t>The signal that is not in the scoring</w:t>
      </w:r>
    </w:p>
    <w:p>
      <w:r>
        <w:rPr>
          <w:rFonts w:ascii="Calibri" w:hAnsi="Calibri"/>
          <w:color w:val="1A2430"/>
          <w:sz w:val="21"/>
        </w:rPr>
        <w:t>The pause before the answer. None of these require preparation. They are all things a provider actively doing the work would know without looking.</w:t>
      </w:r>
    </w:p>
    <w:p>
      <w:pPr>
        <w:spacing w:before="80" w:after="200"/>
        <w:pBdr>
          <w:bottom w:val="single" w:sz="6" w:space="1" w:color="E4E0D6"/>
        </w:pBdr>
      </w:pPr>
    </w:p>
    <w:p>
      <w:r>
        <w:rPr>
          <w:rFonts w:ascii="Calibri" w:hAnsi="Calibri"/>
          <w:i/>
          <w:color w:val="1A2430"/>
          <w:sz w:val="21"/>
        </w:rPr>
        <w:t>Version 1.0, August 2026. Figures in Canadian dollars unless stated. Checked at time of writing; verify anything time-sensitive before relying on it.</w:t>
      </w:r>
    </w:p>
    <w:p>
      <w:r>
        <w:rPr>
          <w:rFonts w:ascii="Calibri" w:hAnsi="Calibri"/>
          <w:i/>
          <w:color w:val="1A2430"/>
          <w:sz w:val="21"/>
        </w:rPr>
        <w:t>Free to use and share. From Brevity.Tech, managed IT and automation for small businesses across Metro Vancouver. brevitytech.ca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368" w:bottom="1080" w:left="136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right"/>
      </w:tabs>
      <w:pBdr>
        <w:top w:val="single" w:sz="6" w:space="6" w:color="E4E0D6"/>
      </w:pBdr>
    </w:pPr>
    <w:r>
      <w:rPr>
        <w:rFonts w:ascii="Calibri" w:hAnsi="Calibri"/>
        <w:color w:val="4E5A66"/>
        <w:sz w:val="17"/>
      </w:rPr>
      <w:t>brevitytech.ca  ·  778-321-2372  ·  contact@brevitytech.ca</w:t>
    </w:r>
    <w:r>
      <w:tab/>
    </w:r>
    <w:r>
      <w:rPr>
        <w:rFonts w:ascii="Calibri" w:hAnsi="Calibri"/>
        <w:color w:val="4E5A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504" w:val="right"/>
      </w:tabs>
      <w:pBdr>
        <w:bottom w:val="single" w:sz="6" w:space="6" w:color="E4E0D6"/>
      </w:pBdr>
    </w:pPr>
    <w:r>
      <w:drawing>
        <wp:inline xmlns:a="http://schemas.openxmlformats.org/drawingml/2006/main" xmlns:pic="http://schemas.openxmlformats.org/drawingml/2006/picture">
          <wp:extent cx="960120" cy="4275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evity-wordmark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120" cy="4275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4E5A66"/>
        <w:sz w:val="17"/>
      </w:rPr>
      <w:tab/>
      <w:t>IT Provider Evaluation Scorecard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A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