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rFonts w:ascii="Georgia" w:hAnsi="Georgia"/>
          <w:b/>
          <w:color w:val="1E2A38"/>
          <w:sz w:val="52"/>
        </w:rPr>
        <w:t>IT asset inventory template</w:t>
      </w:r>
    </w:p>
    <w:p>
      <w:pPr>
        <w:spacing w:before="0" w:after="280"/>
        <w:pBdr>
          <w:bottom w:val="single" w:sz="18" w:space="1" w:color="C98A1E"/>
        </w:pBdr>
      </w:pPr>
    </w:p>
    <w:p>
      <w:r>
        <w:rPr>
          <w:rFonts w:ascii="Calibri" w:hAnsi="Calibri"/>
          <w:color w:val="1A2430"/>
          <w:sz w:val="21"/>
        </w:rPr>
        <w:t>A simple record of what you own, who has it, and whether it is protected. Unglamorous, and the first thing you will wish you had when a laptop goes missing or an insurer asks.</w:t>
      </w:r>
    </w:p>
    <w:p>
      <w:r>
        <w:rPr>
          <w:rFonts w:ascii="Calibri" w:hAnsi="Calibri"/>
          <w:color w:val="1A2430"/>
          <w:sz w:val="21"/>
        </w:rPr>
        <w:t>Free to use and adapt. Copy the tables into a spreadsheet.</w:t>
      </w:r>
    </w:p>
    <w:p>
      <w:pPr>
        <w:spacing w:before="80" w:after="200"/>
        <w:pBdr>
          <w:bottom w:val="single" w:sz="6" w:space="1" w:color="E4E0D6"/>
        </w:pBdr>
      </w:pP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Why bother</w:t>
      </w:r>
    </w:p>
    <w:p>
      <w:r>
        <w:rPr>
          <w:rFonts w:ascii="Calibri" w:hAnsi="Calibri"/>
          <w:color w:val="1A2430"/>
          <w:sz w:val="21"/>
        </w:rPr>
        <w:t>Three moments when this pays for itself:</w:t>
      </w:r>
    </w:p>
    <w:p>
      <w:pPr>
        <w:pStyle w:val="ListNumber"/>
        <w:spacing w:after="60"/>
      </w:pPr>
      <w:r>
        <w:rPr>
          <w:rFonts w:ascii="Calibri" w:hAnsi="Calibri"/>
          <w:b/>
          <w:color w:val="1A2430"/>
          <w:sz w:val="21"/>
        </w:rPr>
        <w:t>Someone leaves.</w:t>
      </w:r>
      <w:r>
        <w:rPr>
          <w:rFonts w:ascii="Calibri" w:hAnsi="Calibri"/>
          <w:color w:val="1A2430"/>
          <w:sz w:val="21"/>
        </w:rPr>
        <w:t xml:space="preserve"> You know exactly what to collect.</w:t>
      </w:r>
    </w:p>
    <w:p>
      <w:pPr>
        <w:pStyle w:val="ListNumber"/>
        <w:spacing w:after="60"/>
      </w:pPr>
      <w:r>
        <w:rPr>
          <w:rFonts w:ascii="Calibri" w:hAnsi="Calibri"/>
          <w:b/>
          <w:color w:val="1A2430"/>
          <w:sz w:val="21"/>
        </w:rPr>
        <w:t>A device is lost or stolen.</w:t>
      </w:r>
      <w:r>
        <w:rPr>
          <w:rFonts w:ascii="Calibri" w:hAnsi="Calibri"/>
          <w:color w:val="1A2430"/>
          <w:sz w:val="21"/>
        </w:rPr>
        <w:t xml:space="preserve"> You know what was on it, whether it was encrypted, and</w:t>
      </w:r>
    </w:p>
    <w:p>
      <w:r>
        <w:rPr>
          <w:rFonts w:ascii="Calibri" w:hAnsi="Calibri"/>
          <w:color w:val="1A2430"/>
          <w:sz w:val="21"/>
        </w:rPr>
        <w:t xml:space="preserve">   therefore whether it is an incident or an inconvenience.</w:t>
      </w:r>
    </w:p>
    <w:p>
      <w:pPr>
        <w:pStyle w:val="ListNumber"/>
        <w:spacing w:after="60"/>
      </w:pPr>
      <w:r>
        <w:rPr>
          <w:rFonts w:ascii="Calibri" w:hAnsi="Calibri"/>
          <w:b/>
          <w:color w:val="1A2430"/>
          <w:sz w:val="21"/>
        </w:rPr>
        <w:t>An insurer or client asks.</w:t>
      </w:r>
      <w:r>
        <w:rPr>
          <w:rFonts w:ascii="Calibri" w:hAnsi="Calibri"/>
          <w:color w:val="1A2430"/>
          <w:sz w:val="21"/>
        </w:rPr>
        <w:t xml:space="preserve"> You can answer in minutes rather than guessing.</w:t>
      </w:r>
    </w:p>
    <w:p>
      <w:pPr>
        <w:spacing w:before="80" w:after="200"/>
        <w:pBdr>
          <w:bottom w:val="single" w:sz="6" w:space="1" w:color="E4E0D6"/>
        </w:pBdr>
      </w:pP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Computers and mobile devices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E4E0D6"/>
          <w:left w:val="single" w:sz="4" w:space="0" w:color="E4E0D6"/>
          <w:bottom w:val="single" w:sz="4" w:space="0" w:color="E4E0D6"/>
          <w:right w:val="single" w:sz="4" w:space="0" w:color="E4E0D6"/>
          <w:insideH w:val="single" w:sz="4" w:space="0" w:color="E4E0D6"/>
          <w:insideV w:val="single" w:sz="4" w:space="0" w:color="E4E0D6"/>
        </w:tblBorders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c>
          <w:tcPr>
            <w:tcW w:type="dxa" w:w="950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Asset tag</w:t>
            </w:r>
          </w:p>
        </w:tc>
        <w:tc>
          <w:tcPr>
            <w:tcW w:type="dxa" w:w="950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Type</w:t>
            </w:r>
          </w:p>
        </w:tc>
        <w:tc>
          <w:tcPr>
            <w:tcW w:type="dxa" w:w="950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Make / model</w:t>
            </w:r>
          </w:p>
        </w:tc>
        <w:tc>
          <w:tcPr>
            <w:tcW w:type="dxa" w:w="950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Serial number</w:t>
            </w:r>
          </w:p>
        </w:tc>
        <w:tc>
          <w:tcPr>
            <w:tcW w:type="dxa" w:w="950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Assigned to</w:t>
            </w:r>
          </w:p>
        </w:tc>
        <w:tc>
          <w:tcPr>
            <w:tcW w:type="dxa" w:w="950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Purchased</w:t>
            </w:r>
          </w:p>
        </w:tc>
        <w:tc>
          <w:tcPr>
            <w:tcW w:type="dxa" w:w="950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Warranty ends</w:t>
            </w:r>
          </w:p>
        </w:tc>
        <w:tc>
          <w:tcPr>
            <w:tcW w:type="dxa" w:w="950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Encrypted</w:t>
            </w:r>
          </w:p>
        </w:tc>
        <w:tc>
          <w:tcPr>
            <w:tcW w:type="dxa" w:w="950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Managed</w:t>
            </w:r>
          </w:p>
        </w:tc>
        <w:tc>
          <w:tcPr>
            <w:tcW w:type="dxa" w:w="950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Notes</w:t>
            </w:r>
          </w:p>
        </w:tc>
      </w:tr>
      <w:tr>
        <w:tc>
          <w:tcPr>
            <w:tcW w:type="dxa" w:w="950"/>
          </w:tcPr>
          <w:p>
            <w:pPr>
              <w:spacing w:before="60" w:after="60"/>
            </w:pPr>
            <w:r/>
          </w:p>
        </w:tc>
        <w:tc>
          <w:tcPr>
            <w:tcW w:type="dxa" w:w="950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Laptop</w:t>
            </w:r>
          </w:p>
        </w:tc>
        <w:tc>
          <w:tcPr>
            <w:tcW w:type="dxa" w:w="950"/>
          </w:tcPr>
          <w:p>
            <w:pPr>
              <w:spacing w:before="60" w:after="60"/>
            </w:pPr>
            <w:r/>
          </w:p>
        </w:tc>
        <w:tc>
          <w:tcPr>
            <w:tcW w:type="dxa" w:w="950"/>
          </w:tcPr>
          <w:p>
            <w:pPr>
              <w:spacing w:before="60" w:after="60"/>
            </w:pPr>
            <w:r/>
          </w:p>
        </w:tc>
        <w:tc>
          <w:tcPr>
            <w:tcW w:type="dxa" w:w="950"/>
          </w:tcPr>
          <w:p>
            <w:pPr>
              <w:spacing w:before="60" w:after="60"/>
            </w:pPr>
            <w:r/>
          </w:p>
        </w:tc>
        <w:tc>
          <w:tcPr>
            <w:tcW w:type="dxa" w:w="950"/>
          </w:tcPr>
          <w:p>
            <w:pPr>
              <w:spacing w:before="60" w:after="60"/>
            </w:pPr>
            <w:r/>
          </w:p>
        </w:tc>
        <w:tc>
          <w:tcPr>
            <w:tcW w:type="dxa" w:w="950"/>
          </w:tcPr>
          <w:p>
            <w:pPr>
              <w:spacing w:before="60" w:after="60"/>
            </w:pPr>
            <w:r/>
          </w:p>
        </w:tc>
        <w:tc>
          <w:tcPr>
            <w:tcW w:type="dxa" w:w="950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Yes / No</w:t>
            </w:r>
          </w:p>
        </w:tc>
        <w:tc>
          <w:tcPr>
            <w:tcW w:type="dxa" w:w="950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Yes / No</w:t>
            </w:r>
          </w:p>
        </w:tc>
        <w:tc>
          <w:tcPr>
            <w:tcW w:type="dxa" w:w="950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950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950"/>
            <w:shd w:val="clear" w:color="auto" w:fill="F6F5F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Desktop</w:t>
            </w:r>
          </w:p>
        </w:tc>
        <w:tc>
          <w:tcPr>
            <w:tcW w:type="dxa" w:w="950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950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950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950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950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950"/>
            <w:shd w:val="clear" w:color="auto" w:fill="F6F5F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Yes / No</w:t>
            </w:r>
          </w:p>
        </w:tc>
        <w:tc>
          <w:tcPr>
            <w:tcW w:type="dxa" w:w="950"/>
            <w:shd w:val="clear" w:color="auto" w:fill="F6F5F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Yes / No</w:t>
            </w:r>
          </w:p>
        </w:tc>
        <w:tc>
          <w:tcPr>
            <w:tcW w:type="dxa" w:w="950"/>
            <w:shd w:val="clear" w:color="auto" w:fill="F6F5F1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950"/>
          </w:tcPr>
          <w:p>
            <w:pPr>
              <w:spacing w:before="60" w:after="60"/>
            </w:pPr>
            <w:r/>
          </w:p>
        </w:tc>
        <w:tc>
          <w:tcPr>
            <w:tcW w:type="dxa" w:w="950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Phone</w:t>
            </w:r>
          </w:p>
        </w:tc>
        <w:tc>
          <w:tcPr>
            <w:tcW w:type="dxa" w:w="950"/>
          </w:tcPr>
          <w:p>
            <w:pPr>
              <w:spacing w:before="60" w:after="60"/>
            </w:pPr>
            <w:r/>
          </w:p>
        </w:tc>
        <w:tc>
          <w:tcPr>
            <w:tcW w:type="dxa" w:w="950"/>
          </w:tcPr>
          <w:p>
            <w:pPr>
              <w:spacing w:before="60" w:after="60"/>
            </w:pPr>
            <w:r/>
          </w:p>
        </w:tc>
        <w:tc>
          <w:tcPr>
            <w:tcW w:type="dxa" w:w="950"/>
          </w:tcPr>
          <w:p>
            <w:pPr>
              <w:spacing w:before="60" w:after="60"/>
            </w:pPr>
            <w:r/>
          </w:p>
        </w:tc>
        <w:tc>
          <w:tcPr>
            <w:tcW w:type="dxa" w:w="950"/>
          </w:tcPr>
          <w:p>
            <w:pPr>
              <w:spacing w:before="60" w:after="60"/>
            </w:pPr>
            <w:r/>
          </w:p>
        </w:tc>
        <w:tc>
          <w:tcPr>
            <w:tcW w:type="dxa" w:w="950"/>
          </w:tcPr>
          <w:p>
            <w:pPr>
              <w:spacing w:before="60" w:after="60"/>
            </w:pPr>
            <w:r/>
          </w:p>
        </w:tc>
        <w:tc>
          <w:tcPr>
            <w:tcW w:type="dxa" w:w="950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Yes / No</w:t>
            </w:r>
          </w:p>
        </w:tc>
        <w:tc>
          <w:tcPr>
            <w:tcW w:type="dxa" w:w="950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Yes / No</w:t>
            </w:r>
          </w:p>
        </w:tc>
        <w:tc>
          <w:tcPr>
            <w:tcW w:type="dxa" w:w="950"/>
          </w:tcPr>
          <w:p>
            <w:pPr>
              <w:spacing w:before="60" w:after="60"/>
            </w:pPr>
            <w:r/>
          </w:p>
        </w:tc>
      </w:tr>
    </w:tbl>
    <w:p>
      <w:pPr>
        <w:spacing w:after="80"/>
      </w:pPr>
    </w:p>
    <w:p>
      <w:r>
        <w:rPr>
          <w:rFonts w:ascii="Calibri" w:hAnsi="Calibri"/>
          <w:b/>
          <w:color w:val="1A2430"/>
          <w:sz w:val="21"/>
        </w:rPr>
        <w:t>Encrypted</w:t>
      </w:r>
      <w:r>
        <w:rPr>
          <w:rFonts w:ascii="Calibri" w:hAnsi="Calibri"/>
          <w:color w:val="1A2430"/>
          <w:sz w:val="21"/>
        </w:rPr>
        <w:t xml:space="preserve"> means BitLocker on Windows or FileVault on Mac is actually on, not just available. </w:t>
      </w:r>
      <w:r>
        <w:rPr>
          <w:rFonts w:ascii="Calibri" w:hAnsi="Calibri"/>
          <w:b/>
          <w:color w:val="1A2430"/>
          <w:sz w:val="21"/>
        </w:rPr>
        <w:t>Managed</w:t>
      </w:r>
      <w:r>
        <w:rPr>
          <w:rFonts w:ascii="Calibri" w:hAnsi="Calibri"/>
          <w:color w:val="1A2430"/>
          <w:sz w:val="21"/>
        </w:rPr>
        <w:t xml:space="preserve"> means the device is enrolled in something that can lock or wipe it remotely.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Servers and network equipment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E4E0D6"/>
          <w:left w:val="single" w:sz="4" w:space="0" w:color="E4E0D6"/>
          <w:bottom w:val="single" w:sz="4" w:space="0" w:color="E4E0D6"/>
          <w:right w:val="single" w:sz="4" w:space="0" w:color="E4E0D6"/>
          <w:insideH w:val="single" w:sz="4" w:space="0" w:color="E4E0D6"/>
          <w:insideV w:val="single" w:sz="4" w:space="0" w:color="E4E0D6"/>
        </w:tblBorders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c>
          <w:tcPr>
            <w:tcW w:type="dxa" w:w="1056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Asset</w:t>
            </w:r>
          </w:p>
        </w:tc>
        <w:tc>
          <w:tcPr>
            <w:tcW w:type="dxa" w:w="1056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Type</w:t>
            </w:r>
          </w:p>
        </w:tc>
        <w:tc>
          <w:tcPr>
            <w:tcW w:type="dxa" w:w="1056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Model</w:t>
            </w:r>
          </w:p>
        </w:tc>
        <w:tc>
          <w:tcPr>
            <w:tcW w:type="dxa" w:w="1056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Location</w:t>
            </w:r>
          </w:p>
        </w:tc>
        <w:tc>
          <w:tcPr>
            <w:tcW w:type="dxa" w:w="1056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IP / hostname</w:t>
            </w:r>
          </w:p>
        </w:tc>
        <w:tc>
          <w:tcPr>
            <w:tcW w:type="dxa" w:w="1056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Purchased</w:t>
            </w:r>
          </w:p>
        </w:tc>
        <w:tc>
          <w:tcPr>
            <w:tcW w:type="dxa" w:w="1056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Support ends</w:t>
            </w:r>
          </w:p>
        </w:tc>
        <w:tc>
          <w:tcPr>
            <w:tcW w:type="dxa" w:w="1056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Backed up</w:t>
            </w:r>
          </w:p>
        </w:tc>
        <w:tc>
          <w:tcPr>
            <w:tcW w:type="dxa" w:w="1056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Notes</w:t>
            </w:r>
          </w:p>
        </w:tc>
      </w:tr>
      <w:tr>
        <w:tc>
          <w:tcPr>
            <w:tcW w:type="dxa" w:w="1056"/>
          </w:tcPr>
          <w:p>
            <w:pPr>
              <w:spacing w:before="60" w:after="60"/>
            </w:pPr>
            <w:r/>
          </w:p>
        </w:tc>
        <w:tc>
          <w:tcPr>
            <w:tcW w:type="dxa" w:w="1056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Server</w:t>
            </w:r>
          </w:p>
        </w:tc>
        <w:tc>
          <w:tcPr>
            <w:tcW w:type="dxa" w:w="1056"/>
          </w:tcPr>
          <w:p>
            <w:pPr>
              <w:spacing w:before="60" w:after="60"/>
            </w:pPr>
            <w:r/>
          </w:p>
        </w:tc>
        <w:tc>
          <w:tcPr>
            <w:tcW w:type="dxa" w:w="1056"/>
          </w:tcPr>
          <w:p>
            <w:pPr>
              <w:spacing w:before="60" w:after="60"/>
            </w:pPr>
            <w:r/>
          </w:p>
        </w:tc>
        <w:tc>
          <w:tcPr>
            <w:tcW w:type="dxa" w:w="1056"/>
          </w:tcPr>
          <w:p>
            <w:pPr>
              <w:spacing w:before="60" w:after="60"/>
            </w:pPr>
            <w:r/>
          </w:p>
        </w:tc>
        <w:tc>
          <w:tcPr>
            <w:tcW w:type="dxa" w:w="1056"/>
          </w:tcPr>
          <w:p>
            <w:pPr>
              <w:spacing w:before="60" w:after="60"/>
            </w:pPr>
            <w:r/>
          </w:p>
        </w:tc>
        <w:tc>
          <w:tcPr>
            <w:tcW w:type="dxa" w:w="1056"/>
          </w:tcPr>
          <w:p>
            <w:pPr>
              <w:spacing w:before="60" w:after="60"/>
            </w:pPr>
            <w:r/>
          </w:p>
        </w:tc>
        <w:tc>
          <w:tcPr>
            <w:tcW w:type="dxa" w:w="1056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Yes / No</w:t>
            </w:r>
          </w:p>
        </w:tc>
        <w:tc>
          <w:tcPr>
            <w:tcW w:type="dxa" w:w="1056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1056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056"/>
            <w:shd w:val="clear" w:color="auto" w:fill="F6F5F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Firewall</w:t>
            </w:r>
          </w:p>
        </w:tc>
        <w:tc>
          <w:tcPr>
            <w:tcW w:type="dxa" w:w="1056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056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056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056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056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056"/>
            <w:shd w:val="clear" w:color="auto" w:fill="F6F5F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n/a</w:t>
            </w:r>
          </w:p>
        </w:tc>
        <w:tc>
          <w:tcPr>
            <w:tcW w:type="dxa" w:w="1056"/>
            <w:shd w:val="clear" w:color="auto" w:fill="F6F5F1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1056"/>
          </w:tcPr>
          <w:p>
            <w:pPr>
              <w:spacing w:before="60" w:after="60"/>
            </w:pPr>
            <w:r/>
          </w:p>
        </w:tc>
        <w:tc>
          <w:tcPr>
            <w:tcW w:type="dxa" w:w="1056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Switch</w:t>
            </w:r>
          </w:p>
        </w:tc>
        <w:tc>
          <w:tcPr>
            <w:tcW w:type="dxa" w:w="1056"/>
          </w:tcPr>
          <w:p>
            <w:pPr>
              <w:spacing w:before="60" w:after="60"/>
            </w:pPr>
            <w:r/>
          </w:p>
        </w:tc>
        <w:tc>
          <w:tcPr>
            <w:tcW w:type="dxa" w:w="1056"/>
          </w:tcPr>
          <w:p>
            <w:pPr>
              <w:spacing w:before="60" w:after="60"/>
            </w:pPr>
            <w:r/>
          </w:p>
        </w:tc>
        <w:tc>
          <w:tcPr>
            <w:tcW w:type="dxa" w:w="1056"/>
          </w:tcPr>
          <w:p>
            <w:pPr>
              <w:spacing w:before="60" w:after="60"/>
            </w:pPr>
            <w:r/>
          </w:p>
        </w:tc>
        <w:tc>
          <w:tcPr>
            <w:tcW w:type="dxa" w:w="1056"/>
          </w:tcPr>
          <w:p>
            <w:pPr>
              <w:spacing w:before="60" w:after="60"/>
            </w:pPr>
            <w:r/>
          </w:p>
        </w:tc>
        <w:tc>
          <w:tcPr>
            <w:tcW w:type="dxa" w:w="1056"/>
          </w:tcPr>
          <w:p>
            <w:pPr>
              <w:spacing w:before="60" w:after="60"/>
            </w:pPr>
            <w:r/>
          </w:p>
        </w:tc>
        <w:tc>
          <w:tcPr>
            <w:tcW w:type="dxa" w:w="1056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n/a</w:t>
            </w:r>
          </w:p>
        </w:tc>
        <w:tc>
          <w:tcPr>
            <w:tcW w:type="dxa" w:w="1056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1056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056"/>
            <w:shd w:val="clear" w:color="auto" w:fill="F6F5F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Access point</w:t>
            </w:r>
          </w:p>
        </w:tc>
        <w:tc>
          <w:tcPr>
            <w:tcW w:type="dxa" w:w="1056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056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056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056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056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056"/>
            <w:shd w:val="clear" w:color="auto" w:fill="F6F5F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n/a</w:t>
            </w:r>
          </w:p>
        </w:tc>
        <w:tc>
          <w:tcPr>
            <w:tcW w:type="dxa" w:w="1056"/>
            <w:shd w:val="clear" w:color="auto" w:fill="F6F5F1"/>
          </w:tcPr>
          <w:p>
            <w:pPr>
              <w:spacing w:before="60" w:after="60"/>
            </w:pPr>
            <w:r/>
          </w:p>
        </w:tc>
      </w:tr>
    </w:tbl>
    <w:p>
      <w:pPr>
        <w:spacing w:after="80"/>
      </w:pP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Software and subscriptions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E4E0D6"/>
          <w:left w:val="single" w:sz="4" w:space="0" w:color="E4E0D6"/>
          <w:bottom w:val="single" w:sz="4" w:space="0" w:color="E4E0D6"/>
          <w:right w:val="single" w:sz="4" w:space="0" w:color="E4E0D6"/>
          <w:insideH w:val="single" w:sz="4" w:space="0" w:color="E4E0D6"/>
          <w:insideV w:val="single" w:sz="4" w:space="0" w:color="E4E0D6"/>
        </w:tblBorders>
      </w:tblPr>
      <w:tblGrid>
        <w:gridCol w:w="1188"/>
        <w:gridCol w:w="1188"/>
        <w:gridCol w:w="1188"/>
        <w:gridCol w:w="1188"/>
        <w:gridCol w:w="1188"/>
        <w:gridCol w:w="1188"/>
        <w:gridCol w:w="1188"/>
        <w:gridCol w:w="1188"/>
      </w:tblGrid>
      <w:tr>
        <w:tc>
          <w:tcPr>
            <w:tcW w:type="dxa" w:w="1188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Product</w:t>
            </w:r>
          </w:p>
        </w:tc>
        <w:tc>
          <w:tcPr>
            <w:tcW w:type="dxa" w:w="1188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What it is for</w:t>
            </w:r>
          </w:p>
        </w:tc>
        <w:tc>
          <w:tcPr>
            <w:tcW w:type="dxa" w:w="1188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Licences</w:t>
            </w:r>
          </w:p>
        </w:tc>
        <w:tc>
          <w:tcPr>
            <w:tcW w:type="dxa" w:w="1188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Renews</w:t>
            </w:r>
          </w:p>
        </w:tc>
        <w:tc>
          <w:tcPr>
            <w:tcW w:type="dxa" w:w="1188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Cost</w:t>
            </w:r>
          </w:p>
        </w:tc>
        <w:tc>
          <w:tcPr>
            <w:tcW w:type="dxa" w:w="1188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Billed to</w:t>
            </w:r>
          </w:p>
        </w:tc>
        <w:tc>
          <w:tcPr>
            <w:tcW w:type="dxa" w:w="1188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Admin contact</w:t>
            </w:r>
          </w:p>
        </w:tc>
        <w:tc>
          <w:tcPr>
            <w:tcW w:type="dxa" w:w="1188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Notes</w:t>
            </w:r>
          </w:p>
        </w:tc>
      </w:tr>
      <w:tr>
        <w:tc>
          <w:tcPr>
            <w:tcW w:type="dxa" w:w="1188"/>
          </w:tcPr>
          <w:p>
            <w:pPr>
              <w:spacing w:before="60" w:after="60"/>
            </w:pPr>
            <w:r/>
          </w:p>
        </w:tc>
        <w:tc>
          <w:tcPr>
            <w:tcW w:type="dxa" w:w="1188"/>
          </w:tcPr>
          <w:p>
            <w:pPr>
              <w:spacing w:before="60" w:after="60"/>
            </w:pPr>
            <w:r/>
          </w:p>
        </w:tc>
        <w:tc>
          <w:tcPr>
            <w:tcW w:type="dxa" w:w="1188"/>
          </w:tcPr>
          <w:p>
            <w:pPr>
              <w:spacing w:before="60" w:after="60"/>
            </w:pPr>
            <w:r/>
          </w:p>
        </w:tc>
        <w:tc>
          <w:tcPr>
            <w:tcW w:type="dxa" w:w="1188"/>
          </w:tcPr>
          <w:p>
            <w:pPr>
              <w:spacing w:before="60" w:after="60"/>
            </w:pPr>
            <w:r/>
          </w:p>
        </w:tc>
        <w:tc>
          <w:tcPr>
            <w:tcW w:type="dxa" w:w="1188"/>
          </w:tcPr>
          <w:p>
            <w:pPr>
              <w:spacing w:before="60" w:after="60"/>
            </w:pPr>
            <w:r/>
          </w:p>
        </w:tc>
        <w:tc>
          <w:tcPr>
            <w:tcW w:type="dxa" w:w="1188"/>
          </w:tcPr>
          <w:p>
            <w:pPr>
              <w:spacing w:before="60" w:after="60"/>
            </w:pPr>
            <w:r/>
          </w:p>
        </w:tc>
        <w:tc>
          <w:tcPr>
            <w:tcW w:type="dxa" w:w="1188"/>
          </w:tcPr>
          <w:p>
            <w:pPr>
              <w:spacing w:before="60" w:after="60"/>
            </w:pPr>
            <w:r/>
          </w:p>
        </w:tc>
        <w:tc>
          <w:tcPr>
            <w:tcW w:type="dxa" w:w="1188"/>
          </w:tcPr>
          <w:p>
            <w:pPr>
              <w:spacing w:before="60" w:after="60"/>
            </w:pPr>
            <w:r/>
          </w:p>
        </w:tc>
      </w:tr>
    </w:tbl>
    <w:p>
      <w:pPr>
        <w:spacing w:after="80"/>
      </w:pPr>
    </w:p>
    <w:p>
      <w:r>
        <w:rPr>
          <w:rFonts w:ascii="Calibri" w:hAnsi="Calibri"/>
          <w:color w:val="1A2430"/>
          <w:sz w:val="21"/>
        </w:rPr>
        <w:t>Include everything, not just the obvious: Microsoft 365, accounting software, the CRM, the domain registration, SSL certificates, the website host, the phone system.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Accounts and services registered in someone's name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E4E0D6"/>
          <w:left w:val="single" w:sz="4" w:space="0" w:color="E4E0D6"/>
          <w:bottom w:val="single" w:sz="4" w:space="0" w:color="E4E0D6"/>
          <w:right w:val="single" w:sz="4" w:space="0" w:color="E4E0D6"/>
          <w:insideH w:val="single" w:sz="4" w:space="0" w:color="E4E0D6"/>
          <w:insideV w:val="single" w:sz="4" w:space="0" w:color="E4E0D6"/>
        </w:tblBorders>
      </w:tblPr>
      <w:tblGrid>
        <w:gridCol w:w="1901"/>
        <w:gridCol w:w="1901"/>
        <w:gridCol w:w="1901"/>
        <w:gridCol w:w="1901"/>
        <w:gridCol w:w="1901"/>
      </w:tblGrid>
      <w:tr>
        <w:tc>
          <w:tcPr>
            <w:tcW w:type="dxa" w:w="1901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Service</w:t>
            </w:r>
          </w:p>
        </w:tc>
        <w:tc>
          <w:tcPr>
            <w:tcW w:type="dxa" w:w="1901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Registered to</w:t>
            </w:r>
          </w:p>
        </w:tc>
        <w:tc>
          <w:tcPr>
            <w:tcW w:type="dxa" w:w="1901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Renews</w:t>
            </w:r>
          </w:p>
        </w:tc>
        <w:tc>
          <w:tcPr>
            <w:tcW w:type="dxa" w:w="1901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Where the login lives</w:t>
            </w:r>
          </w:p>
        </w:tc>
        <w:tc>
          <w:tcPr>
            <w:tcW w:type="dxa" w:w="1901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Notes</w:t>
            </w:r>
          </w:p>
        </w:tc>
      </w:tr>
      <w:tr>
        <w:tc>
          <w:tcPr>
            <w:tcW w:type="dxa" w:w="190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Domain name</w:t>
            </w:r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Website hosting</w:t>
            </w:r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190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SSL certificate</w:t>
            </w:r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Mobile account</w:t>
            </w:r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</w:tr>
    </w:tbl>
    <w:p>
      <w:pPr>
        <w:spacing w:after="80"/>
      </w:pPr>
    </w:p>
    <w:p>
      <w:r>
        <w:rPr>
          <w:rFonts w:ascii="Calibri" w:hAnsi="Calibri"/>
          <w:color w:val="1A2430"/>
          <w:sz w:val="21"/>
        </w:rPr>
        <w:t>This table is the one people skip and later regret. If any of these sit in a personal name, move them to a company account now.</w:t>
      </w:r>
    </w:p>
    <w:p>
      <w:pPr>
        <w:spacing w:before="80" w:after="200"/>
        <w:pBdr>
          <w:bottom w:val="single" w:sz="6" w:space="1" w:color="E4E0D6"/>
        </w:pBdr>
      </w:pP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How to keep it current</w:t>
      </w:r>
    </w:p>
    <w:p>
      <w:r>
        <w:rPr>
          <w:rFonts w:ascii="Calibri" w:hAnsi="Calibri"/>
          <w:color w:val="1A2430"/>
          <w:sz w:val="21"/>
        </w:rPr>
        <w:t>You will not maintain this by discipline alone. Tie it to events instead:</w:t>
      </w:r>
    </w:p>
    <w:p>
      <w:pPr>
        <w:pStyle w:val="ListBullet"/>
        <w:spacing w:after="60"/>
      </w:pPr>
      <w:r>
        <w:rPr>
          <w:rFonts w:ascii="Calibri" w:hAnsi="Calibri"/>
          <w:b/>
          <w:color w:val="1A2430"/>
          <w:sz w:val="21"/>
        </w:rPr>
        <w:t>New device</w:t>
      </w:r>
      <w:r>
        <w:rPr>
          <w:rFonts w:ascii="Calibri" w:hAnsi="Calibri"/>
          <w:color w:val="1A2430"/>
          <w:sz w:val="21"/>
        </w:rPr>
        <w:t xml:space="preserve"> goes on the list before it is handed over</w:t>
      </w:r>
    </w:p>
    <w:p>
      <w:pPr>
        <w:pStyle w:val="ListBullet"/>
        <w:spacing w:after="60"/>
      </w:pPr>
      <w:r>
        <w:rPr>
          <w:rFonts w:ascii="Calibri" w:hAnsi="Calibri"/>
          <w:b/>
          <w:color w:val="1A2430"/>
          <w:sz w:val="21"/>
        </w:rPr>
        <w:t>Someone leaves</w:t>
      </w:r>
      <w:r>
        <w:rPr>
          <w:rFonts w:ascii="Calibri" w:hAnsi="Calibri"/>
          <w:color w:val="1A2430"/>
          <w:sz w:val="21"/>
        </w:rPr>
        <w:t xml:space="preserve"> and you tick items off as they come back</w:t>
      </w:r>
    </w:p>
    <w:p>
      <w:pPr>
        <w:pStyle w:val="ListBullet"/>
        <w:spacing w:after="60"/>
      </w:pPr>
      <w:r>
        <w:rPr>
          <w:rFonts w:ascii="Calibri" w:hAnsi="Calibri"/>
          <w:b/>
          <w:color w:val="1A2430"/>
          <w:sz w:val="21"/>
        </w:rPr>
        <w:t>Renewal season</w:t>
      </w:r>
      <w:r>
        <w:rPr>
          <w:rFonts w:ascii="Calibri" w:hAnsi="Calibri"/>
          <w:color w:val="1A2430"/>
          <w:sz w:val="21"/>
        </w:rPr>
        <w:t xml:space="preserve"> once a year, check every date in the subscription table</w:t>
      </w:r>
    </w:p>
    <w:p>
      <w:pPr>
        <w:spacing w:before="80" w:after="200"/>
        <w:pBdr>
          <w:bottom w:val="single" w:sz="6" w:space="1" w:color="E4E0D6"/>
        </w:pBdr>
      </w:pPr>
    </w:p>
    <w:p>
      <w:r>
        <w:rPr>
          <w:rFonts w:ascii="Calibri" w:hAnsi="Calibri"/>
          <w:b/>
          <w:color w:val="1A2430"/>
          <w:sz w:val="21"/>
        </w:rPr>
        <w:t>About this template.</w:t>
      </w:r>
      <w:r>
        <w:rPr>
          <w:rFonts w:ascii="Calibri" w:hAnsi="Calibri"/>
          <w:color w:val="1A2430"/>
          <w:sz w:val="21"/>
        </w:rPr>
        <w:t xml:space="preserve"> Free to use, edit, and share, including commercially. No credit needed and no permission required. It is a starting point built from common practice. It is not legal advice, not a compliance certification, and not a substitute for advice about your situation. Your obligations depend on your industry, your regulator, your insurer, and your contracts. If you are in a regulated field, have someone qualified review this before you rely on it.</w:t>
      </w:r>
    </w:p>
    <w:p>
      <w:r>
        <w:rPr>
          <w:rFonts w:ascii="Calibri" w:hAnsi="Calibri"/>
          <w:color w:val="1A2430"/>
          <w:sz w:val="21"/>
        </w:rPr>
        <w:t>Last reviewed: August 2026 · Latest version: brevitytech.ca/templates</w:t>
      </w:r>
    </w:p>
    <w:p>
      <w:r>
        <w:rPr>
          <w:rFonts w:ascii="Calibri" w:hAnsi="Calibri"/>
          <w:i/>
          <w:color w:val="1A2430"/>
          <w:sz w:val="21"/>
        </w:rPr>
        <w:t>Made by **Brevity.Tech**, managed IT and automation for small businesses in Metro Vancouver. Our managed plans keep this inventory automatically, so it is accurate without anyone maintaining a spreadsheet. brevitytech.ca · 778-321-2372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368" w:bottom="1080" w:left="136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504" w:val="right"/>
      </w:tabs>
      <w:pBdr>
        <w:top w:val="single" w:sz="6" w:space="6" w:color="E4E0D6"/>
      </w:pBdr>
    </w:pPr>
    <w:r>
      <w:rPr>
        <w:rFonts w:ascii="Calibri" w:hAnsi="Calibri"/>
        <w:color w:val="4E5A66"/>
        <w:sz w:val="17"/>
      </w:rPr>
      <w:t>brevitytech.ca  ·  778-321-2372  ·  contact@brevitytech.ca</w:t>
    </w:r>
    <w:r>
      <w:tab/>
    </w:r>
    <w:r>
      <w:rPr>
        <w:rFonts w:ascii="Calibri" w:hAnsi="Calibri"/>
        <w:color w:val="4E5A66"/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504" w:val="right"/>
      </w:tabs>
      <w:pBdr>
        <w:bottom w:val="single" w:sz="6" w:space="6" w:color="E4E0D6"/>
      </w:pBdr>
    </w:pPr>
    <w:r>
      <w:drawing>
        <wp:inline xmlns:a="http://schemas.openxmlformats.org/drawingml/2006/main" xmlns:pic="http://schemas.openxmlformats.org/drawingml/2006/picture">
          <wp:extent cx="960120" cy="4275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evity-wordmark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42758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/>
        <w:color w:val="4E5A66"/>
        <w:sz w:val="17"/>
      </w:rPr>
      <w:tab/>
      <w:t>IT asset inventory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1A2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