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pPr>
      <w:r>
        <w:rPr>
          <w:rFonts w:ascii="Georgia" w:hAnsi="Georgia"/>
          <w:b/>
          <w:color w:val="1E2A38"/>
          <w:sz w:val="52"/>
        </w:rPr>
        <w:t>Employee offboarding checklist (IT)</w:t>
      </w:r>
    </w:p>
    <w:p>
      <w:pPr>
        <w:spacing w:before="0" w:after="280"/>
        <w:pBdr>
          <w:bottom w:val="single" w:sz="18" w:space="1" w:color="C98A1E"/>
        </w:pBdr>
      </w:pPr>
    </w:p>
    <w:p>
      <w:r>
        <w:rPr>
          <w:rFonts w:ascii="Calibri" w:hAnsi="Calibri"/>
          <w:color w:val="1A2430"/>
          <w:sz w:val="21"/>
        </w:rPr>
        <w:t>What to do the day someone leaves. Speed matters here more than anywhere else in IT.</w:t>
      </w:r>
    </w:p>
    <w:p>
      <w:r>
        <w:rPr>
          <w:rFonts w:ascii="Calibri" w:hAnsi="Calibri"/>
          <w:color w:val="1A2430"/>
          <w:sz w:val="21"/>
        </w:rPr>
        <w:t>Free to use and adapt.</w:t>
      </w:r>
    </w:p>
    <w:p>
      <w:pPr>
        <w:spacing w:before="80" w:after="200"/>
        <w:pBdr>
          <w:bottom w:val="single" w:sz="6" w:space="1" w:color="E4E0D6"/>
        </w:pBdr>
      </w:pPr>
    </w:p>
    <w:p>
      <w:pPr>
        <w:spacing w:before="320" w:after="100"/>
        <w:pBdr>
          <w:bottom w:val="single" w:sz="4" w:space="4" w:color="E4E0D6"/>
        </w:pBdr>
      </w:pPr>
      <w:r>
        <w:rPr>
          <w:rFonts w:ascii="Georgia" w:hAnsi="Georgia"/>
          <w:b/>
          <w:color w:val="1E2A38"/>
          <w:sz w:val="30"/>
        </w:rPr>
        <w:t>Before the last day</w:t>
      </w:r>
    </w:p>
    <w:p>
      <w:pPr>
        <w:spacing w:after="60"/>
        <w:ind w:left="360"/>
      </w:pPr>
      <w:r>
        <w:rPr>
          <w:rFonts w:ascii="Segoe UI Symbol" w:hAnsi="Segoe UI Symbol"/>
          <w:color w:val="4E5A66"/>
          <w:sz w:val="22"/>
        </w:rPr>
        <w:t xml:space="preserve">☐  </w:t>
      </w:r>
      <w:r>
        <w:rPr>
          <w:rFonts w:ascii="Calibri" w:hAnsi="Calibri"/>
          <w:color w:val="1A2430"/>
          <w:sz w:val="21"/>
        </w:rPr>
        <w:t>Confirm the exact departure date and time</w:t>
      </w:r>
    </w:p>
    <w:p>
      <w:pPr>
        <w:spacing w:after="60"/>
        <w:ind w:left="360"/>
      </w:pPr>
      <w:r>
        <w:rPr>
          <w:rFonts w:ascii="Segoe UI Symbol" w:hAnsi="Segoe UI Symbol"/>
          <w:color w:val="4E5A66"/>
          <w:sz w:val="22"/>
        </w:rPr>
        <w:t xml:space="preserve">☐  </w:t>
      </w:r>
      <w:r>
        <w:rPr>
          <w:rFonts w:ascii="Calibri" w:hAnsi="Calibri"/>
          <w:color w:val="1A2430"/>
          <w:sz w:val="21"/>
        </w:rPr>
        <w:t>Decide who inherits their email, files, and responsibilities</w:t>
      </w:r>
    </w:p>
    <w:p>
      <w:pPr>
        <w:spacing w:after="60"/>
        <w:ind w:left="360"/>
      </w:pPr>
      <w:r>
        <w:rPr>
          <w:rFonts w:ascii="Segoe UI Symbol" w:hAnsi="Segoe UI Symbol"/>
          <w:color w:val="4E5A66"/>
          <w:sz w:val="22"/>
        </w:rPr>
        <w:t xml:space="preserve">☐  </w:t>
      </w:r>
      <w:r>
        <w:rPr>
          <w:rFonts w:ascii="Calibri" w:hAnsi="Calibri"/>
          <w:color w:val="1A2430"/>
          <w:sz w:val="21"/>
        </w:rPr>
        <w:t>Agree whether the mailbox is forwarded, converted to shared, or archived</w:t>
      </w:r>
    </w:p>
    <w:p>
      <w:pPr>
        <w:spacing w:after="60"/>
        <w:ind w:left="360"/>
      </w:pPr>
      <w:r>
        <w:rPr>
          <w:rFonts w:ascii="Segoe UI Symbol" w:hAnsi="Segoe UI Symbol"/>
          <w:color w:val="4E5A66"/>
          <w:sz w:val="22"/>
        </w:rPr>
        <w:t xml:space="preserve">☐  </w:t>
      </w:r>
      <w:r>
        <w:rPr>
          <w:rFonts w:ascii="Calibri" w:hAnsi="Calibri"/>
          <w:color w:val="1A2430"/>
          <w:sz w:val="21"/>
        </w:rPr>
        <w:t>Ask what they hold that IT may not know about: subscriptions they signed up for,</w:t>
      </w:r>
    </w:p>
    <w:p>
      <w:r>
        <w:rPr>
          <w:rFonts w:ascii="Calibri" w:hAnsi="Calibri"/>
          <w:color w:val="1A2430"/>
          <w:sz w:val="21"/>
        </w:rPr>
        <w:t xml:space="preserve">      vendor portals, cloud storage, a company phone account in their name</w:t>
      </w:r>
    </w:p>
    <w:p>
      <w:pPr>
        <w:spacing w:before="320" w:after="100"/>
        <w:pBdr>
          <w:bottom w:val="single" w:sz="4" w:space="4" w:color="E4E0D6"/>
        </w:pBdr>
      </w:pPr>
      <w:r>
        <w:rPr>
          <w:rFonts w:ascii="Georgia" w:hAnsi="Georgia"/>
          <w:b/>
          <w:color w:val="1E2A38"/>
          <w:sz w:val="30"/>
        </w:rPr>
        <w:t>On the last day, within the hour</w:t>
      </w:r>
    </w:p>
    <w:p>
      <w:pPr>
        <w:spacing w:after="60"/>
        <w:ind w:left="360"/>
      </w:pPr>
      <w:r>
        <w:rPr>
          <w:rFonts w:ascii="Segoe UI Symbol" w:hAnsi="Segoe UI Symbol"/>
          <w:color w:val="4E5A66"/>
          <w:sz w:val="22"/>
        </w:rPr>
        <w:t xml:space="preserve">☐  </w:t>
      </w:r>
      <w:r>
        <w:rPr>
          <w:rFonts w:ascii="Calibri" w:hAnsi="Calibri"/>
          <w:color w:val="1A2430"/>
          <w:sz w:val="21"/>
        </w:rPr>
        <w:t>Disable the account. Disable, do not delete, so data stays recoverable.</w:t>
      </w:r>
    </w:p>
    <w:p>
      <w:pPr>
        <w:spacing w:after="60"/>
        <w:ind w:left="360"/>
      </w:pPr>
      <w:r>
        <w:rPr>
          <w:rFonts w:ascii="Segoe UI Symbol" w:hAnsi="Segoe UI Symbol"/>
          <w:color w:val="4E5A66"/>
          <w:sz w:val="22"/>
        </w:rPr>
        <w:t xml:space="preserve">☐  </w:t>
      </w:r>
      <w:r>
        <w:rPr>
          <w:rFonts w:ascii="Calibri" w:hAnsi="Calibri"/>
          <w:color w:val="1A2430"/>
          <w:sz w:val="21"/>
        </w:rPr>
        <w:t>Revoke active sessions and tokens. Disabling an account does not always sign out a</w:t>
      </w:r>
    </w:p>
    <w:p>
      <w:r>
        <w:rPr>
          <w:rFonts w:ascii="Calibri" w:hAnsi="Calibri"/>
          <w:color w:val="1A2430"/>
          <w:sz w:val="21"/>
        </w:rPr>
        <w:t xml:space="preserve">      device that is already signed in.</w:t>
      </w:r>
    </w:p>
    <w:p>
      <w:pPr>
        <w:spacing w:after="60"/>
        <w:ind w:left="360"/>
      </w:pPr>
      <w:r>
        <w:rPr>
          <w:rFonts w:ascii="Segoe UI Symbol" w:hAnsi="Segoe UI Symbol"/>
          <w:color w:val="4E5A66"/>
          <w:sz w:val="22"/>
        </w:rPr>
        <w:t xml:space="preserve">☐  </w:t>
      </w:r>
      <w:r>
        <w:rPr>
          <w:rFonts w:ascii="Calibri" w:hAnsi="Calibri"/>
          <w:color w:val="1A2430"/>
          <w:sz w:val="21"/>
        </w:rPr>
        <w:t>Remove multi-factor methods and devices registered to them</w:t>
      </w:r>
    </w:p>
    <w:p>
      <w:pPr>
        <w:spacing w:after="60"/>
        <w:ind w:left="360"/>
      </w:pPr>
      <w:r>
        <w:rPr>
          <w:rFonts w:ascii="Segoe UI Symbol" w:hAnsi="Segoe UI Symbol"/>
          <w:color w:val="4E5A66"/>
          <w:sz w:val="22"/>
        </w:rPr>
        <w:t xml:space="preserve">☐  </w:t>
      </w:r>
      <w:r>
        <w:rPr>
          <w:rFonts w:ascii="Calibri" w:hAnsi="Calibri"/>
          <w:color w:val="1A2430"/>
          <w:sz w:val="21"/>
        </w:rPr>
        <w:t>Remove any app passwords and OAuth app consents on the account</w:t>
      </w:r>
    </w:p>
    <w:p>
      <w:pPr>
        <w:spacing w:after="60"/>
        <w:ind w:left="360"/>
      </w:pPr>
      <w:r>
        <w:rPr>
          <w:rFonts w:ascii="Segoe UI Symbol" w:hAnsi="Segoe UI Symbol"/>
          <w:color w:val="4E5A66"/>
          <w:sz w:val="22"/>
        </w:rPr>
        <w:t xml:space="preserve">☐  </w:t>
      </w:r>
      <w:r>
        <w:rPr>
          <w:rFonts w:ascii="Calibri" w:hAnsi="Calibri"/>
          <w:color w:val="1A2430"/>
          <w:sz w:val="21"/>
        </w:rPr>
        <w:t>Reset the password as well</w:t>
      </w:r>
    </w:p>
    <w:p>
      <w:pPr>
        <w:spacing w:after="60"/>
        <w:ind w:left="360"/>
      </w:pPr>
      <w:r>
        <w:rPr>
          <w:rFonts w:ascii="Segoe UI Symbol" w:hAnsi="Segoe UI Symbol"/>
          <w:color w:val="4E5A66"/>
          <w:sz w:val="22"/>
        </w:rPr>
        <w:t xml:space="preserve">☐  </w:t>
      </w:r>
      <w:r>
        <w:rPr>
          <w:rFonts w:ascii="Calibri" w:hAnsi="Calibri"/>
          <w:color w:val="1A2430"/>
          <w:sz w:val="21"/>
        </w:rPr>
        <w:t>Remove them from the password manager and rotate any shared credentials they knew</w:t>
      </w:r>
    </w:p>
    <w:p>
      <w:pPr>
        <w:spacing w:after="60"/>
        <w:ind w:left="360"/>
      </w:pPr>
      <w:r>
        <w:rPr>
          <w:rFonts w:ascii="Segoe UI Symbol" w:hAnsi="Segoe UI Symbol"/>
          <w:color w:val="4E5A66"/>
          <w:sz w:val="22"/>
        </w:rPr>
        <w:t xml:space="preserve">☐  </w:t>
      </w:r>
      <w:r>
        <w:rPr>
          <w:rFonts w:ascii="Calibri" w:hAnsi="Calibri"/>
          <w:color w:val="1A2430"/>
          <w:sz w:val="21"/>
        </w:rPr>
        <w:t>Remove access to line-of-business apps, CRM, accounting, VPN, and remote access</w:t>
      </w:r>
    </w:p>
    <w:p>
      <w:pPr>
        <w:spacing w:after="60"/>
        <w:ind w:left="360"/>
      </w:pPr>
      <w:r>
        <w:rPr>
          <w:rFonts w:ascii="Segoe UI Symbol" w:hAnsi="Segoe UI Symbol"/>
          <w:color w:val="4E5A66"/>
          <w:sz w:val="22"/>
        </w:rPr>
        <w:t xml:space="preserve">☐  </w:t>
      </w:r>
      <w:r>
        <w:rPr>
          <w:rFonts w:ascii="Calibri" w:hAnsi="Calibri"/>
          <w:color w:val="1A2430"/>
          <w:sz w:val="21"/>
        </w:rPr>
        <w:t>Remove from distribution lists, shared mailboxes, and groups</w:t>
      </w:r>
    </w:p>
    <w:p>
      <w:pPr>
        <w:spacing w:after="60"/>
        <w:ind w:left="360"/>
      </w:pPr>
      <w:r>
        <w:rPr>
          <w:rFonts w:ascii="Segoe UI Symbol" w:hAnsi="Segoe UI Symbol"/>
          <w:color w:val="4E5A66"/>
          <w:sz w:val="22"/>
        </w:rPr>
        <w:t xml:space="preserve">☐  </w:t>
      </w:r>
      <w:r>
        <w:rPr>
          <w:rFonts w:ascii="Calibri" w:hAnsi="Calibri"/>
          <w:color w:val="1A2430"/>
          <w:sz w:val="21"/>
        </w:rPr>
        <w:t>Disable building or door access</w:t>
      </w:r>
    </w:p>
    <w:p>
      <w:pPr>
        <w:spacing w:before="320" w:after="100"/>
        <w:pBdr>
          <w:bottom w:val="single" w:sz="4" w:space="4" w:color="E4E0D6"/>
        </w:pBdr>
      </w:pPr>
      <w:r>
        <w:rPr>
          <w:rFonts w:ascii="Georgia" w:hAnsi="Georgia"/>
          <w:b/>
          <w:color w:val="1E2A38"/>
          <w:sz w:val="30"/>
        </w:rPr>
        <w:t>The device</w:t>
      </w:r>
    </w:p>
    <w:p>
      <w:pPr>
        <w:spacing w:after="60"/>
        <w:ind w:left="360"/>
      </w:pPr>
      <w:r>
        <w:rPr>
          <w:rFonts w:ascii="Segoe UI Symbol" w:hAnsi="Segoe UI Symbol"/>
          <w:color w:val="4E5A66"/>
          <w:sz w:val="22"/>
        </w:rPr>
        <w:t xml:space="preserve">☐  </w:t>
      </w:r>
      <w:r>
        <w:rPr>
          <w:rFonts w:ascii="Calibri" w:hAnsi="Calibri"/>
          <w:color w:val="1A2430"/>
          <w:sz w:val="21"/>
        </w:rPr>
        <w:t>Collect the laptop, phone, dock, monitors, keys, and access cards</w:t>
      </w:r>
    </w:p>
    <w:p>
      <w:pPr>
        <w:spacing w:after="60"/>
        <w:ind w:left="360"/>
      </w:pPr>
      <w:r>
        <w:rPr>
          <w:rFonts w:ascii="Segoe UI Symbol" w:hAnsi="Segoe UI Symbol"/>
          <w:color w:val="4E5A66"/>
          <w:sz w:val="22"/>
        </w:rPr>
        <w:t xml:space="preserve">☐  </w:t>
      </w:r>
      <w:r>
        <w:rPr>
          <w:rFonts w:ascii="Calibri" w:hAnsi="Calibri"/>
          <w:color w:val="1A2430"/>
          <w:sz w:val="21"/>
        </w:rPr>
        <w:t>Check what came back against your asset list</w:t>
      </w:r>
    </w:p>
    <w:p>
      <w:pPr>
        <w:spacing w:after="60"/>
        <w:ind w:left="360"/>
      </w:pPr>
      <w:r>
        <w:rPr>
          <w:rFonts w:ascii="Segoe UI Symbol" w:hAnsi="Segoe UI Symbol"/>
          <w:color w:val="4E5A66"/>
          <w:sz w:val="22"/>
        </w:rPr>
        <w:t xml:space="preserve">☐  </w:t>
      </w:r>
      <w:r>
        <w:rPr>
          <w:rFonts w:ascii="Calibri" w:hAnsi="Calibri"/>
          <w:color w:val="1A2430"/>
          <w:sz w:val="21"/>
        </w:rPr>
        <w:t>Keep the device intact until you are certain nothing on it is still needed</w:t>
      </w:r>
    </w:p>
    <w:p>
      <w:pPr>
        <w:spacing w:after="60"/>
        <w:ind w:left="360"/>
      </w:pPr>
      <w:r>
        <w:rPr>
          <w:rFonts w:ascii="Segoe UI Symbol" w:hAnsi="Segoe UI Symbol"/>
          <w:color w:val="4E5A66"/>
          <w:sz w:val="22"/>
        </w:rPr>
        <w:t xml:space="preserve">☐  </w:t>
      </w:r>
      <w:r>
        <w:rPr>
          <w:rFonts w:ascii="Calibri" w:hAnsi="Calibri"/>
          <w:color w:val="1A2430"/>
          <w:sz w:val="21"/>
        </w:rPr>
        <w:t>Wipe and re-enrol before it goes to the next person</w:t>
      </w:r>
    </w:p>
    <w:p>
      <w:pPr>
        <w:spacing w:after="60"/>
        <w:ind w:left="360"/>
      </w:pPr>
      <w:r>
        <w:rPr>
          <w:rFonts w:ascii="Segoe UI Symbol" w:hAnsi="Segoe UI Symbol"/>
          <w:color w:val="4E5A66"/>
          <w:sz w:val="22"/>
        </w:rPr>
        <w:t xml:space="preserve">☐  </w:t>
      </w:r>
      <w:r>
        <w:rPr>
          <w:rFonts w:ascii="Calibri" w:hAnsi="Calibri"/>
          <w:color w:val="1A2430"/>
          <w:sz w:val="21"/>
        </w:rPr>
        <w:t>If a device is not returned, lock or remotely wipe it</w:t>
      </w:r>
    </w:p>
    <w:p>
      <w:pPr>
        <w:spacing w:after="60"/>
        <w:ind w:left="360"/>
      </w:pPr>
      <w:r>
        <w:rPr>
          <w:rFonts w:ascii="Segoe UI Symbol" w:hAnsi="Segoe UI Symbol"/>
          <w:color w:val="4E5A66"/>
          <w:sz w:val="22"/>
        </w:rPr>
        <w:t xml:space="preserve">☐  </w:t>
      </w:r>
      <w:r>
        <w:rPr>
          <w:rFonts w:ascii="Calibri" w:hAnsi="Calibri"/>
          <w:color w:val="1A2430"/>
          <w:sz w:val="21"/>
        </w:rPr>
        <w:t xml:space="preserve">On a </w:t>
      </w:r>
      <w:r>
        <w:rPr>
          <w:rFonts w:ascii="Calibri" w:hAnsi="Calibri"/>
          <w:b/>
          <w:color w:val="1A2430"/>
          <w:sz w:val="21"/>
        </w:rPr>
        <w:t>personal</w:t>
      </w:r>
      <w:r>
        <w:rPr>
          <w:rFonts w:ascii="Calibri" w:hAnsi="Calibri"/>
          <w:color w:val="1A2430"/>
          <w:sz w:val="21"/>
        </w:rPr>
        <w:t xml:space="preserve"> device, remove company data only. Do not factory reset it. That destroys</w:t>
      </w:r>
    </w:p>
    <w:p>
      <w:r>
        <w:rPr>
          <w:rFonts w:ascii="Calibri" w:hAnsi="Calibri"/>
          <w:color w:val="1A2430"/>
          <w:sz w:val="21"/>
        </w:rPr>
        <w:t xml:space="preserve">      someone's photos and creates a problem you do not want. Selective removal only works if the       device was enrolled and the acceptable use policy was signed first</w:t>
      </w:r>
    </w:p>
    <w:p>
      <w:pPr>
        <w:spacing w:before="320" w:after="100"/>
        <w:pBdr>
          <w:bottom w:val="single" w:sz="4" w:space="4" w:color="E4E0D6"/>
        </w:pBdr>
      </w:pPr>
      <w:r>
        <w:rPr>
          <w:rFonts w:ascii="Georgia" w:hAnsi="Georgia"/>
          <w:b/>
          <w:color w:val="1E2A38"/>
          <w:sz w:val="30"/>
        </w:rPr>
        <w:t>Data and continuity</w:t>
      </w:r>
    </w:p>
    <w:p>
      <w:pPr>
        <w:spacing w:after="60"/>
        <w:ind w:left="360"/>
      </w:pPr>
      <w:r>
        <w:rPr>
          <w:rFonts w:ascii="Segoe UI Symbol" w:hAnsi="Segoe UI Symbol"/>
          <w:color w:val="4E5A66"/>
          <w:sz w:val="22"/>
        </w:rPr>
        <w:t xml:space="preserve">☐  </w:t>
      </w:r>
      <w:r>
        <w:rPr>
          <w:rFonts w:ascii="Calibri" w:hAnsi="Calibri"/>
          <w:color w:val="1A2430"/>
          <w:sz w:val="21"/>
        </w:rPr>
        <w:t>Transfer ownership of files only they controlled</w:t>
      </w:r>
    </w:p>
    <w:p>
      <w:pPr>
        <w:spacing w:after="60"/>
        <w:ind w:left="360"/>
      </w:pPr>
      <w:r>
        <w:rPr>
          <w:rFonts w:ascii="Segoe UI Symbol" w:hAnsi="Segoe UI Symbol"/>
          <w:color w:val="4E5A66"/>
          <w:sz w:val="22"/>
        </w:rPr>
        <w:t xml:space="preserve">☐  </w:t>
      </w:r>
      <w:r>
        <w:rPr>
          <w:rFonts w:ascii="Calibri" w:hAnsi="Calibri"/>
          <w:color w:val="1A2430"/>
          <w:sz w:val="21"/>
        </w:rPr>
        <w:t>Check for automations, scheduled reports, or scripts running under their account</w:t>
      </w:r>
    </w:p>
    <w:p>
      <w:pPr>
        <w:spacing w:after="60"/>
        <w:ind w:left="360"/>
      </w:pPr>
      <w:r>
        <w:rPr>
          <w:rFonts w:ascii="Segoe UI Symbol" w:hAnsi="Segoe UI Symbol"/>
          <w:color w:val="4E5A66"/>
          <w:sz w:val="22"/>
        </w:rPr>
        <w:t xml:space="preserve">☐  </w:t>
      </w:r>
      <w:r>
        <w:rPr>
          <w:rFonts w:ascii="Calibri" w:hAnsi="Calibri"/>
          <w:color w:val="1A2430"/>
          <w:sz w:val="21"/>
        </w:rPr>
        <w:t>Check for anything registered in their name: domains, certificates, vendor logins,</w:t>
      </w:r>
    </w:p>
    <w:p>
      <w:r>
        <w:rPr>
          <w:rFonts w:ascii="Calibri" w:hAnsi="Calibri"/>
          <w:color w:val="1A2430"/>
          <w:sz w:val="21"/>
        </w:rPr>
        <w:t xml:space="preserve">      software licences, the mobile account</w:t>
      </w:r>
    </w:p>
    <w:p>
      <w:pPr>
        <w:spacing w:after="60"/>
        <w:ind w:left="360"/>
      </w:pPr>
      <w:r>
        <w:rPr>
          <w:rFonts w:ascii="Segoe UI Symbol" w:hAnsi="Segoe UI Symbol"/>
          <w:color w:val="4E5A66"/>
          <w:sz w:val="22"/>
        </w:rPr>
        <w:t xml:space="preserve">☐  </w:t>
      </w:r>
      <w:r>
        <w:rPr>
          <w:rFonts w:ascii="Calibri" w:hAnsi="Calibri"/>
          <w:color w:val="1A2430"/>
          <w:sz w:val="21"/>
        </w:rPr>
        <w:t>Set the mailbox to forward or auto-reply as agreed</w:t>
      </w:r>
    </w:p>
    <w:p>
      <w:pPr>
        <w:spacing w:after="60"/>
        <w:ind w:left="360"/>
      </w:pPr>
      <w:r>
        <w:rPr>
          <w:rFonts w:ascii="Segoe UI Symbol" w:hAnsi="Segoe UI Symbol"/>
          <w:color w:val="4E5A66"/>
          <w:sz w:val="22"/>
        </w:rPr>
        <w:t xml:space="preserve">☐  </w:t>
      </w:r>
      <w:r>
        <w:rPr>
          <w:rFonts w:ascii="Calibri" w:hAnsi="Calibri"/>
          <w:color w:val="1A2430"/>
          <w:sz w:val="21"/>
        </w:rPr>
        <w:t>Confirm a final backup exists</w:t>
      </w:r>
    </w:p>
    <w:p>
      <w:pPr>
        <w:spacing w:before="320" w:after="100"/>
        <w:pBdr>
          <w:bottom w:val="single" w:sz="4" w:space="4" w:color="E4E0D6"/>
        </w:pBdr>
      </w:pPr>
      <w:r>
        <w:rPr>
          <w:rFonts w:ascii="Georgia" w:hAnsi="Georgia"/>
          <w:b/>
          <w:color w:val="1E2A38"/>
          <w:sz w:val="30"/>
        </w:rPr>
        <w:t>After 30 to 90 days</w:t>
      </w:r>
    </w:p>
    <w:p>
      <w:pPr>
        <w:spacing w:after="60"/>
        <w:ind w:left="360"/>
      </w:pPr>
      <w:r>
        <w:rPr>
          <w:rFonts w:ascii="Segoe UI Symbol" w:hAnsi="Segoe UI Symbol"/>
          <w:color w:val="4E5A66"/>
          <w:sz w:val="22"/>
        </w:rPr>
        <w:t xml:space="preserve">☐  </w:t>
      </w:r>
      <w:r>
        <w:rPr>
          <w:rFonts w:ascii="Calibri" w:hAnsi="Calibri"/>
          <w:color w:val="1A2430"/>
          <w:sz w:val="21"/>
        </w:rPr>
        <w:t>Reclaim the licence once mailbox handling is settled</w:t>
      </w:r>
    </w:p>
    <w:p>
      <w:pPr>
        <w:spacing w:after="60"/>
        <w:ind w:left="360"/>
      </w:pPr>
      <w:r>
        <w:rPr>
          <w:rFonts w:ascii="Segoe UI Symbol" w:hAnsi="Segoe UI Symbol"/>
          <w:color w:val="4E5A66"/>
          <w:sz w:val="22"/>
        </w:rPr>
        <w:t xml:space="preserve">☐  </w:t>
      </w:r>
      <w:r>
        <w:rPr>
          <w:rFonts w:ascii="Calibri" w:hAnsi="Calibri"/>
          <w:color w:val="1A2430"/>
          <w:sz w:val="21"/>
        </w:rPr>
        <w:t>Archive or delete data in line with your retention policy</w:t>
      </w:r>
    </w:p>
    <w:p>
      <w:pPr>
        <w:spacing w:after="60"/>
        <w:ind w:left="360"/>
      </w:pPr>
      <w:r>
        <w:rPr>
          <w:rFonts w:ascii="Segoe UI Symbol" w:hAnsi="Segoe UI Symbol"/>
          <w:color w:val="4E5A66"/>
          <w:sz w:val="22"/>
        </w:rPr>
        <w:t xml:space="preserve">☐  </w:t>
      </w:r>
      <w:r>
        <w:rPr>
          <w:rFonts w:ascii="Calibri" w:hAnsi="Calibri"/>
          <w:color w:val="1A2430"/>
          <w:sz w:val="21"/>
        </w:rPr>
        <w:t>Remove the account permanently, if your policy allows</w:t>
      </w:r>
    </w:p>
    <w:p>
      <w:pPr>
        <w:spacing w:before="80" w:after="200"/>
        <w:pBdr>
          <w:bottom w:val="single" w:sz="6" w:space="1" w:color="E4E0D6"/>
        </w:pBdr>
      </w:pPr>
    </w:p>
    <w:p>
      <w:pPr>
        <w:spacing w:before="320" w:after="100"/>
        <w:pBdr>
          <w:bottom w:val="single" w:sz="4" w:space="4" w:color="E4E0D6"/>
        </w:pBdr>
      </w:pPr>
      <w:r>
        <w:rPr>
          <w:rFonts w:ascii="Georgia" w:hAnsi="Georgia"/>
          <w:b/>
          <w:color w:val="1E2A38"/>
          <w:sz w:val="30"/>
        </w:rPr>
        <w:t>Access register</w:t>
      </w:r>
    </w:p>
    <w:p>
      <w:r>
        <w:rPr>
          <w:rFonts w:ascii="Calibri" w:hAnsi="Calibri"/>
          <w:color w:val="1A2430"/>
          <w:sz w:val="21"/>
        </w:rPr>
        <w:t xml:space="preserve">Fill this in when someone </w:t>
      </w:r>
      <w:r>
        <w:rPr>
          <w:rFonts w:ascii="Calibri" w:hAnsi="Calibri"/>
          <w:b/>
          <w:color w:val="1A2430"/>
          <w:sz w:val="21"/>
        </w:rPr>
        <w:t>joins</w:t>
      </w:r>
      <w:r>
        <w:rPr>
          <w:rFonts w:ascii="Calibri" w:hAnsi="Calibri"/>
          <w:color w:val="1A2430"/>
          <w:sz w:val="21"/>
        </w:rPr>
        <w:t>, not when they leave. Reconstructing it eighteen months later under time pressure is where things get missed.</w:t>
      </w:r>
    </w:p>
    <w:tbl>
      <w:tblPr>
        <w:tblW w:type="auto" w:w="0"/>
        <w:jc w:val="left"/>
        <w:tblLook w:firstColumn="1" w:firstRow="1" w:lastColumn="0" w:lastRow="0" w:noHBand="0" w:noVBand="1" w:val="04A0"/>
        <w:tblBorders>
          <w:top w:val="single" w:sz="4" w:space="0" w:color="E4E0D6"/>
          <w:left w:val="single" w:sz="4" w:space="0" w:color="E4E0D6"/>
          <w:bottom w:val="single" w:sz="4" w:space="0" w:color="E4E0D6"/>
          <w:right w:val="single" w:sz="4" w:space="0" w:color="E4E0D6"/>
          <w:insideH w:val="single" w:sz="4" w:space="0" w:color="E4E0D6"/>
          <w:insideV w:val="single" w:sz="4" w:space="0" w:color="E4E0D6"/>
        </w:tblBorders>
      </w:tblPr>
      <w:tblGrid>
        <w:gridCol w:w="1901"/>
        <w:gridCol w:w="1901"/>
        <w:gridCol w:w="1901"/>
        <w:gridCol w:w="1901"/>
        <w:gridCol w:w="1901"/>
      </w:tblGrid>
      <w:tr>
        <w:tc>
          <w:tcPr>
            <w:tcW w:type="dxa" w:w="1901"/>
            <w:shd w:val="clear" w:color="auto" w:fill="1E2A38"/>
          </w:tcPr>
          <w:p>
            <w:pPr>
              <w:spacing w:before="80" w:after="80"/>
            </w:pPr>
            <w:r>
              <w:rPr>
                <w:b/>
                <w:color w:val="F7F2E8"/>
              </w:rPr>
            </w:r>
            <w:r>
              <w:rPr>
                <w:rFonts w:ascii="Calibri" w:hAnsi="Calibri"/>
                <w:b/>
                <w:color w:val="F7F2E8"/>
                <w:sz w:val="19"/>
              </w:rPr>
              <w:t>System</w:t>
            </w:r>
          </w:p>
        </w:tc>
        <w:tc>
          <w:tcPr>
            <w:tcW w:type="dxa" w:w="1901"/>
            <w:shd w:val="clear" w:color="auto" w:fill="1E2A38"/>
          </w:tcPr>
          <w:p>
            <w:pPr>
              <w:spacing w:before="80" w:after="80"/>
            </w:pPr>
            <w:r>
              <w:rPr>
                <w:b/>
                <w:color w:val="F7F2E8"/>
              </w:rPr>
            </w:r>
            <w:r>
              <w:rPr>
                <w:rFonts w:ascii="Calibri" w:hAnsi="Calibri"/>
                <w:b/>
                <w:color w:val="F7F2E8"/>
                <w:sz w:val="19"/>
              </w:rPr>
              <w:t>Access level</w:t>
            </w:r>
          </w:p>
        </w:tc>
        <w:tc>
          <w:tcPr>
            <w:tcW w:type="dxa" w:w="1901"/>
            <w:shd w:val="clear" w:color="auto" w:fill="1E2A38"/>
          </w:tcPr>
          <w:p>
            <w:pPr>
              <w:spacing w:before="80" w:after="80"/>
            </w:pPr>
            <w:r>
              <w:rPr>
                <w:b/>
                <w:color w:val="F7F2E8"/>
              </w:rPr>
            </w:r>
            <w:r>
              <w:rPr>
                <w:rFonts w:ascii="Calibri" w:hAnsi="Calibri"/>
                <w:b/>
                <w:color w:val="F7F2E8"/>
                <w:sz w:val="19"/>
              </w:rPr>
              <w:t>Date granted</w:t>
            </w:r>
          </w:p>
        </w:tc>
        <w:tc>
          <w:tcPr>
            <w:tcW w:type="dxa" w:w="1901"/>
            <w:shd w:val="clear" w:color="auto" w:fill="1E2A38"/>
          </w:tcPr>
          <w:p>
            <w:pPr>
              <w:spacing w:before="80" w:after="80"/>
            </w:pPr>
            <w:r>
              <w:rPr>
                <w:b/>
                <w:color w:val="F7F2E8"/>
              </w:rPr>
            </w:r>
            <w:r>
              <w:rPr>
                <w:rFonts w:ascii="Calibri" w:hAnsi="Calibri"/>
                <w:b/>
                <w:color w:val="F7F2E8"/>
                <w:sz w:val="19"/>
              </w:rPr>
              <w:t>Date removed</w:t>
            </w:r>
          </w:p>
        </w:tc>
        <w:tc>
          <w:tcPr>
            <w:tcW w:type="dxa" w:w="1901"/>
            <w:shd w:val="clear" w:color="auto" w:fill="1E2A38"/>
          </w:tcPr>
          <w:p>
            <w:pPr>
              <w:spacing w:before="80" w:after="80"/>
            </w:pPr>
            <w:r>
              <w:rPr>
                <w:b/>
                <w:color w:val="F7F2E8"/>
              </w:rPr>
            </w:r>
            <w:r>
              <w:rPr>
                <w:rFonts w:ascii="Calibri" w:hAnsi="Calibri"/>
                <w:b/>
                <w:color w:val="F7F2E8"/>
                <w:sz w:val="19"/>
              </w:rPr>
              <w:t>Removed by</w:t>
            </w:r>
          </w:p>
        </w:tc>
      </w:tr>
      <w:tr>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r>
      <w:tr>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r>
      <w:tr>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r>
      <w:tr>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r>
      <w:tr>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r>
    </w:tbl>
    <w:p>
      <w:pPr>
        <w:spacing w:after="80"/>
      </w:pPr>
    </w:p>
    <w:p>
      <w:pPr>
        <w:spacing w:before="80" w:after="200"/>
        <w:pBdr>
          <w:bottom w:val="single" w:sz="6" w:space="1" w:color="E4E0D6"/>
        </w:pBdr>
      </w:pPr>
    </w:p>
    <w:p>
      <w:pPr>
        <w:spacing w:before="320" w:after="100"/>
        <w:pBdr>
          <w:bottom w:val="single" w:sz="4" w:space="4" w:color="E4E0D6"/>
        </w:pBdr>
      </w:pPr>
      <w:r>
        <w:rPr>
          <w:rFonts w:ascii="Georgia" w:hAnsi="Georgia"/>
          <w:b/>
          <w:color w:val="1E2A38"/>
          <w:sz w:val="30"/>
        </w:rPr>
        <w:t>The one that costs people money</w:t>
      </w:r>
    </w:p>
    <w:p>
      <w:r>
        <w:rPr>
          <w:rFonts w:ascii="Calibri" w:hAnsi="Calibri"/>
          <w:b/>
          <w:color w:val="1A2430"/>
          <w:sz w:val="21"/>
        </w:rPr>
        <w:t>Anything registered in a departing person's name.</w:t>
      </w:r>
      <w:r>
        <w:rPr>
          <w:rFonts w:ascii="Calibri" w:hAnsi="Calibri"/>
          <w:color w:val="1A2430"/>
          <w:sz w:val="21"/>
        </w:rPr>
        <w:t xml:space="preserve"> The domain, the SSL certificate, the vendor portal, the mobile account. It all works fine until something needs renewing, and then nobody can get in. Check this before the last day, not after.</w:t>
      </w:r>
    </w:p>
    <w:p>
      <w:r>
        <w:rPr>
          <w:rFonts w:ascii="Calibri" w:hAnsi="Calibri"/>
          <w:b/>
          <w:color w:val="1A2430"/>
          <w:sz w:val="21"/>
        </w:rPr>
        <w:t>A close second: shared logins.</w:t>
      </w:r>
      <w:r>
        <w:rPr>
          <w:rFonts w:ascii="Calibri" w:hAnsi="Calibri"/>
          <w:color w:val="1A2430"/>
          <w:sz w:val="21"/>
        </w:rPr>
        <w:t xml:space="preserve"> If the team shared an account, that password now needs changing and everyone needs telling. Which is the argument for not having shared logins in the first place.</w:t>
      </w:r>
    </w:p>
    <w:p>
      <w:pPr>
        <w:spacing w:before="80" w:after="200"/>
        <w:pBdr>
          <w:bottom w:val="single" w:sz="6" w:space="1" w:color="E4E0D6"/>
        </w:pBdr>
      </w:pPr>
    </w:p>
    <w:p>
      <w:r>
        <w:rPr>
          <w:rFonts w:ascii="Calibri" w:hAnsi="Calibri"/>
          <w:b/>
          <w:color w:val="1A2430"/>
          <w:sz w:val="21"/>
        </w:rPr>
        <w:t>About this template.</w:t>
      </w:r>
      <w:r>
        <w:rPr>
          <w:rFonts w:ascii="Calibri" w:hAnsi="Calibri"/>
          <w:color w:val="1A2430"/>
          <w:sz w:val="21"/>
        </w:rPr>
        <w:t xml:space="preserve"> Free to use, edit, and share, including commercially. No credit needed and no permission required. It is a starting point built from common practice. It is not legal advice, not a compliance certification, and not a substitute for advice about your situation. Your obligations depend on your industry, your regulator, your insurer, and your contracts. If you are in a regulated field, have someone qualified review this before you rely on it.</w:t>
      </w:r>
    </w:p>
    <w:p>
      <w:r>
        <w:rPr>
          <w:rFonts w:ascii="Calibri" w:hAnsi="Calibri"/>
          <w:color w:val="1A2430"/>
          <w:sz w:val="21"/>
        </w:rPr>
        <w:t>Last reviewed: August 2026 · Latest version: brevitytech.ca/templates</w:t>
      </w:r>
    </w:p>
    <w:p>
      <w:r>
        <w:rPr>
          <w:rFonts w:ascii="Calibri" w:hAnsi="Calibri"/>
          <w:i/>
          <w:color w:val="1A2430"/>
          <w:sz w:val="21"/>
        </w:rPr>
        <w:t>Made by **Brevity.Tech**, managed IT and automation for small businesses in Metro Vancouver. Same-day offboarding is included in every plan we run. brevitytech.ca · 778-321-2372</w:t>
      </w:r>
    </w:p>
    <w:sectPr w:rsidR="00FC693F" w:rsidRPr="0006063C" w:rsidSect="00034616">
      <w:headerReference w:type="default" r:id="rId9"/>
      <w:footerReference w:type="default" r:id="rId10"/>
      <w:pgSz w:w="12240" w:h="15840"/>
      <w:pgMar w:top="1008" w:right="1368" w:bottom="1080" w:left="136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right"/>
      </w:tabs>
      <w:pBdr>
        <w:top w:val="single" w:sz="6" w:space="6" w:color="E4E0D6"/>
      </w:pBdr>
    </w:pPr>
    <w:r>
      <w:rPr>
        <w:rFonts w:ascii="Calibri" w:hAnsi="Calibri"/>
        <w:color w:val="4E5A66"/>
        <w:sz w:val="17"/>
      </w:rPr>
      <w:t>brevitytech.ca  ·  778-321-2372  ·  contact@brevitytech.ca</w:t>
    </w:r>
    <w:r>
      <w:tab/>
    </w:r>
    <w:r>
      <w:rPr>
        <w:rFonts w:ascii="Calibri" w:hAnsi="Calibri"/>
        <w:color w:val="4E5A66"/>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04" w:val="right"/>
      </w:tabs>
      <w:pBdr>
        <w:bottom w:val="single" w:sz="6" w:space="6" w:color="E4E0D6"/>
      </w:pBdr>
    </w:pPr>
    <w:r>
      <w:drawing>
        <wp:inline xmlns:a="http://schemas.openxmlformats.org/drawingml/2006/main" xmlns:pic="http://schemas.openxmlformats.org/drawingml/2006/picture">
          <wp:extent cx="960120" cy="427584"/>
          <wp:docPr id="1" name="Picture 1"/>
          <wp:cNvGraphicFramePr>
            <a:graphicFrameLocks noChangeAspect="1"/>
          </wp:cNvGraphicFramePr>
          <a:graphic>
            <a:graphicData uri="http://schemas.openxmlformats.org/drawingml/2006/picture">
              <pic:pic>
                <pic:nvPicPr>
                  <pic:cNvPr id="0" name="brevity-wordmark-dark.png"/>
                  <pic:cNvPicPr/>
                </pic:nvPicPr>
                <pic:blipFill>
                  <a:blip r:embed="rId1"/>
                  <a:stretch>
                    <a:fillRect/>
                  </a:stretch>
                </pic:blipFill>
                <pic:spPr>
                  <a:xfrm>
                    <a:off x="0" y="0"/>
                    <a:ext cx="960120" cy="427584"/>
                  </a:xfrm>
                  <a:prstGeom prst="rect"/>
                </pic:spPr>
              </pic:pic>
            </a:graphicData>
          </a:graphic>
        </wp:inline>
      </w:drawing>
    </w:r>
    <w:r>
      <w:rPr>
        <w:rFonts w:ascii="Calibri" w:hAnsi="Calibri"/>
        <w:color w:val="4E5A66"/>
        <w:sz w:val="17"/>
      </w:rPr>
      <w:tab/>
      <w:t>Employee offboarding checklist (IT)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1A24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