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Georgia" w:hAnsi="Georgia"/>
          <w:b/>
          <w:color w:val="1E2A38"/>
          <w:sz w:val="52"/>
        </w:rPr>
        <w:t>Business Continuity One-Pager</w:t>
      </w:r>
    </w:p>
    <w:p>
      <w:pPr>
        <w:spacing w:before="0" w:after="280"/>
        <w:pBdr>
          <w:bottom w:val="single" w:sz="18" w:space="1" w:color="C98A1E"/>
        </w:pBdr>
      </w:pPr>
    </w:p>
    <w:p>
      <w:r>
        <w:rPr>
          <w:rFonts w:ascii="Calibri" w:hAnsi="Calibri"/>
          <w:color w:val="1A2430"/>
          <w:sz w:val="21"/>
        </w:rPr>
        <w:t>Not a binder. One page answering what happens if you cannot work from your usual place, on your usual systems.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What would stop us trading</w:t>
      </w:r>
    </w:p>
    <w:p>
      <w:r>
        <w:rPr>
          <w:rFonts w:ascii="Calibri" w:hAnsi="Calibri"/>
          <w:color w:val="1A2430"/>
          <w:sz w:val="21"/>
        </w:rPr>
        <w:t>List the three things whose loss would hurt most within 24 hours.</w:t>
      </w:r>
    </w:p>
    <w:p>
      <w:pPr>
        <w:pStyle w:val="ListNumber"/>
        <w:spacing w:after="60"/>
      </w:pP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i/>
          <w:color w:val="1A2430"/>
          <w:sz w:val="21"/>
        </w:rPr>
      </w:r>
    </w:p>
    <w:p>
      <w:pPr>
        <w:pStyle w:val="ListNumber"/>
        <w:spacing w:after="60"/>
      </w:pP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i/>
          <w:color w:val="1A2430"/>
          <w:sz w:val="21"/>
        </w:rPr>
      </w:r>
    </w:p>
    <w:p>
      <w:pPr>
        <w:pStyle w:val="ListNumber"/>
        <w:spacing w:after="60"/>
      </w:pP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i/>
          <w:color w:val="1A2430"/>
          <w:sz w:val="21"/>
        </w:rPr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For each one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E4E0D6"/>
          <w:left w:val="single" w:sz="4" w:space="0" w:color="E4E0D6"/>
          <w:bottom w:val="single" w:sz="4" w:space="0" w:color="E4E0D6"/>
          <w:right w:val="single" w:sz="4" w:space="0" w:color="E4E0D6"/>
          <w:insideH w:val="single" w:sz="4" w:space="0" w:color="E4E0D6"/>
          <w:insideV w:val="single" w:sz="4" w:space="0" w:color="E4E0D6"/>
        </w:tblBorders>
      </w:tblPr>
      <w:tblGrid>
        <w:gridCol w:w="2376"/>
        <w:gridCol w:w="2376"/>
        <w:gridCol w:w="2376"/>
        <w:gridCol w:w="2376"/>
      </w:tblGrid>
      <w:tr>
        <w:tc>
          <w:tcPr>
            <w:tcW w:type="dxa" w:w="237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</w:p>
        </w:tc>
        <w:tc>
          <w:tcPr>
            <w:tcW w:type="dxa" w:w="237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How long could we cope without it</w:t>
            </w:r>
          </w:p>
        </w:tc>
        <w:tc>
          <w:tcPr>
            <w:tcW w:type="dxa" w:w="237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What is the fallback</w:t>
            </w:r>
          </w:p>
        </w:tc>
        <w:tc>
          <w:tcPr>
            <w:tcW w:type="dxa" w:w="237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Who arranges it</w:t>
            </w:r>
          </w:p>
        </w:tc>
      </w:tr>
      <w:tr>
        <w:tc>
          <w:tcPr>
            <w:tcW w:type="dxa" w:w="237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1</w:t>
            </w:r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2</w:t>
            </w:r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237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3</w:t>
            </w:r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</w:tr>
    </w:tbl>
    <w:p>
      <w:pPr>
        <w:spacing w:after="80"/>
      </w:pP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If the office is unavailable</w:t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 xml:space="preserve">Where does everyone go, or do they work from home: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 xml:space="preserve">How do we tell staff: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 xml:space="preserve">How do we tell clients: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>Can everyone access what they need from elsewhere today, without help? Yes / No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If systems are unavailable</w:t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 xml:space="preserve">What is the manual fallback for taking orders or payments: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 xml:space="preserve">Where is the client contact list held outside the affected system: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</w:r>
    </w:p>
    <w:p>
      <w:pPr>
        <w:pStyle w:val="ListBullet"/>
        <w:spacing w:after="60"/>
      </w:pPr>
      <w:r>
        <w:rPr>
          <w:rFonts w:ascii="Calibri" w:hAnsi="Calibri"/>
          <w:color w:val="1A2430"/>
          <w:sz w:val="21"/>
        </w:rPr>
        <w:t xml:space="preserve">Who is authorized to speak publicly: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The test</w:t>
      </w:r>
    </w:p>
    <w:p>
      <w:r>
        <w:rPr>
          <w:rFonts w:ascii="Calibri" w:hAnsi="Calibri"/>
          <w:color w:val="1A2430"/>
          <w:sz w:val="21"/>
        </w:rPr>
        <w:t>Pick a Tuesday. Ask one person to work for a morning as though the office were unavailable and see what they cannot do. Everything they hit is a gap worth fixing, and finding it that way costs a morning instead of a quarter.</w:t>
      </w:r>
    </w:p>
    <w:p>
      <w:r>
        <w:rPr>
          <w:rFonts w:ascii="Calibri" w:hAnsi="Calibri"/>
          <w:b/>
          <w:color w:val="1A2430"/>
          <w:sz w:val="21"/>
        </w:rPr>
        <w:t>Reviewed on:</w:t>
      </w:r>
      <w:r>
        <w:rPr>
          <w:rFonts w:ascii="Calibri" w:hAnsi="Calibri"/>
          <w:color w:val="1A2430"/>
          <w:sz w:val="21"/>
        </w:rPr>
        <w:t xml:space="preserve">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 xml:space="preserve">  **Next review:**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</w:p>
    <w:p>
      <w:pPr>
        <w:spacing w:before="80" w:after="200"/>
        <w:pBdr>
          <w:bottom w:val="single" w:sz="6" w:space="1" w:color="E4E0D6"/>
        </w:pBdr>
      </w:pPr>
    </w:p>
    <w:p>
      <w:r>
        <w:rPr>
          <w:rFonts w:ascii="Calibri" w:hAnsi="Calibri"/>
          <w:i/>
          <w:color w:val="1A2430"/>
          <w:sz w:val="21"/>
        </w:rPr>
        <w:t>Version 1.0, August 2026. Figures in Canadian dollars unless stated. Checked at time of writing; verify anything time-sensitive before relying on it.</w:t>
      </w:r>
    </w:p>
    <w:p>
      <w:r>
        <w:rPr>
          <w:rFonts w:ascii="Calibri" w:hAnsi="Calibri"/>
          <w:i/>
          <w:color w:val="1A2430"/>
          <w:sz w:val="21"/>
        </w:rPr>
        <w:t>Free to use and share. From Brevity.Tech, managed IT and automation for small businesses across Metro Vancouver. brevitytech.ca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368" w:bottom="1080" w:left="136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04" w:val="right"/>
      </w:tabs>
      <w:pBdr>
        <w:top w:val="single" w:sz="6" w:space="6" w:color="E4E0D6"/>
      </w:pBdr>
    </w:pPr>
    <w:r>
      <w:rPr>
        <w:rFonts w:ascii="Calibri" w:hAnsi="Calibri"/>
        <w:color w:val="4E5A66"/>
        <w:sz w:val="17"/>
      </w:rPr>
      <w:t>brevitytech.ca  ·  778-321-2372  ·  contact@brevitytech.ca</w:t>
    </w:r>
    <w:r>
      <w:tab/>
    </w:r>
    <w:r>
      <w:rPr>
        <w:rFonts w:ascii="Calibri" w:hAnsi="Calibri"/>
        <w:color w:val="4E5A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04" w:val="right"/>
      </w:tabs>
      <w:pBdr>
        <w:bottom w:val="single" w:sz="6" w:space="6" w:color="E4E0D6"/>
      </w:pBdr>
    </w:pPr>
    <w:r>
      <w:drawing>
        <wp:inline xmlns:a="http://schemas.openxmlformats.org/drawingml/2006/main" xmlns:pic="http://schemas.openxmlformats.org/drawingml/2006/picture">
          <wp:extent cx="960120" cy="4275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evity-wordmark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4275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color w:val="4E5A66"/>
        <w:sz w:val="17"/>
      </w:rPr>
      <w:tab/>
      <w:t>Business Continuity One-Pager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A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